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7CFEBA" w14:textId="77777777" w:rsidR="00016CC1" w:rsidRDefault="00016CC1" w:rsidP="00016CC1">
      <w:pPr>
        <w:jc w:val="both"/>
        <w:rPr>
          <w:rFonts w:ascii="Arial" w:hAnsi="Arial" w:cs="Arial"/>
          <w:b/>
          <w:bCs/>
          <w:sz w:val="22"/>
          <w:szCs w:val="22"/>
        </w:rPr>
      </w:pPr>
    </w:p>
    <w:p w14:paraId="7937C782" w14:textId="660A7024" w:rsidR="00016CC1" w:rsidRPr="00016CC1" w:rsidRDefault="00016CC1" w:rsidP="00016CC1">
      <w:pPr>
        <w:jc w:val="both"/>
        <w:rPr>
          <w:rFonts w:ascii="Arial" w:hAnsi="Arial" w:cs="Arial"/>
          <w:sz w:val="22"/>
          <w:szCs w:val="22"/>
        </w:rPr>
      </w:pPr>
      <w:r w:rsidRPr="00016CC1">
        <w:rPr>
          <w:rFonts w:ascii="Arial" w:hAnsi="Arial" w:cs="Arial"/>
          <w:b/>
          <w:bCs/>
          <w:sz w:val="22"/>
          <w:szCs w:val="22"/>
        </w:rPr>
        <w:t>FUNDAMENTOS DE DERECHO PROCESAL CIVIL EN COLOMBIA</w:t>
      </w:r>
    </w:p>
    <w:p w14:paraId="6BEDCBD2" w14:textId="77777777" w:rsidR="00016CC1" w:rsidRPr="00016CC1" w:rsidRDefault="00016CC1" w:rsidP="00016CC1">
      <w:pPr>
        <w:jc w:val="both"/>
        <w:rPr>
          <w:rFonts w:ascii="Arial" w:hAnsi="Arial" w:cs="Arial"/>
          <w:sz w:val="22"/>
          <w:szCs w:val="22"/>
        </w:rPr>
      </w:pPr>
    </w:p>
    <w:p w14:paraId="1CB13266"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rPr>
        <w:t>MODULO 6</w:t>
      </w:r>
    </w:p>
    <w:p w14:paraId="54E73750"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rPr>
        <w:t>PRUEBAS Y MECANISMOS ALTERNATIVOS (MASC)</w:t>
      </w:r>
    </w:p>
    <w:p w14:paraId="4541E41C" w14:textId="77777777" w:rsidR="00016CC1" w:rsidRPr="00016CC1" w:rsidRDefault="00016CC1" w:rsidP="00016CC1">
      <w:pPr>
        <w:jc w:val="both"/>
        <w:rPr>
          <w:rFonts w:ascii="Arial" w:hAnsi="Arial" w:cs="Arial"/>
          <w:sz w:val="22"/>
          <w:szCs w:val="22"/>
        </w:rPr>
      </w:pPr>
      <w:r w:rsidRPr="00016CC1">
        <w:rPr>
          <w:rFonts w:ascii="Arial" w:hAnsi="Arial" w:cs="Arial"/>
          <w:i/>
          <w:iCs/>
          <w:sz w:val="22"/>
          <w:szCs w:val="22"/>
        </w:rPr>
        <w:t>"Cierre Practico: Probar, Decidir y Resolver sin Juez"</w:t>
      </w:r>
    </w:p>
    <w:p w14:paraId="0BD8DD2B" w14:textId="77777777" w:rsidR="00016CC1" w:rsidRPr="00016CC1" w:rsidRDefault="00016CC1" w:rsidP="00016CC1">
      <w:pPr>
        <w:jc w:val="both"/>
        <w:rPr>
          <w:rFonts w:ascii="Arial" w:hAnsi="Arial" w:cs="Arial"/>
          <w:b/>
          <w:bCs/>
          <w:sz w:val="22"/>
          <w:szCs w:val="22"/>
        </w:rPr>
      </w:pPr>
    </w:p>
    <w:p w14:paraId="19A969AE"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CAPSULA 6.1</w:t>
      </w:r>
    </w:p>
    <w:p w14:paraId="1347EE63"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INTRODUCCIÓN AL DERECHO PROBATORIO</w:t>
      </w:r>
    </w:p>
    <w:p w14:paraId="49910BF4" w14:textId="77777777" w:rsidR="00016CC1" w:rsidRPr="00016CC1" w:rsidRDefault="00016CC1" w:rsidP="00016CC1">
      <w:pPr>
        <w:jc w:val="both"/>
        <w:rPr>
          <w:rFonts w:ascii="Arial" w:hAnsi="Arial" w:cs="Arial"/>
          <w:sz w:val="22"/>
          <w:szCs w:val="22"/>
        </w:rPr>
      </w:pPr>
    </w:p>
    <w:p w14:paraId="5C846E20"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6.1.1 Por que Importa la Prueba?</w:t>
      </w:r>
    </w:p>
    <w:p w14:paraId="5F819D56"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Un juez no puede fundar su decisión en intuiciones, corazonadas ni en lo que 'parece' que ocurrió. Solo puede tener por ciertos los hechos que han sido PROBADOS dentro del proceso por los medios y en las condiciones que la ley establece. La prueba es el puente entre la realidad y la convicción del juez.</w:t>
      </w:r>
    </w:p>
    <w:p w14:paraId="0A7DD2AC"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artículo 164 del CGP es la norma fundante: 'Toda decisión judicial debe fundarse en las pruebas regular y oportunamente allegadas al proceso.' Esta regla tiene dos implicaciones criticas para el litigante: primero, que solo cuentan las pruebas traídas al proceso (no las que existen en el mundo exterior pero no fueron incorporadas) y segundo, que deben haberse aportado siguiendo las formas y los momentos que la ley exige.</w:t>
      </w:r>
    </w:p>
    <w:p w14:paraId="1807CF94" w14:textId="77777777" w:rsidR="00016CC1" w:rsidRPr="00016CC1" w:rsidRDefault="00016CC1" w:rsidP="00016CC1">
      <w:pPr>
        <w:jc w:val="both"/>
        <w:rPr>
          <w:rFonts w:ascii="Arial" w:hAnsi="Arial" w:cs="Arial"/>
          <w:sz w:val="22"/>
          <w:szCs w:val="22"/>
        </w:rPr>
      </w:pPr>
    </w:p>
    <w:p w14:paraId="7EB311FD"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6.1.2 La Trilogía Probatoria: Fuente, Medio y Órgano</w:t>
      </w:r>
    </w:p>
    <w:p w14:paraId="36C62413"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doctrina procesal colombiana, siguiendo al maestro español James Goldschmidt y desarrollada por el procesalista nacional Hernando Devís Echandia, distingue tres conceptos que con frecuencia se confunden:</w:t>
      </w:r>
    </w:p>
    <w:p w14:paraId="6A62CED5" w14:textId="77777777" w:rsidR="00016CC1" w:rsidRPr="00016CC1" w:rsidRDefault="00016CC1" w:rsidP="00016CC1">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48D332F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6BA5AABA"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LA TRILOGÍA DE LA PRUEBA: TRES CONCEPTOS DISTINTOS</w:t>
            </w:r>
          </w:p>
          <w:p w14:paraId="4D938A3F"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FUENTE DE PRUEBA: </w:t>
            </w:r>
            <w:r w:rsidRPr="00016CC1">
              <w:rPr>
                <w:rFonts w:ascii="Arial" w:hAnsi="Arial" w:cs="Arial"/>
                <w:sz w:val="22"/>
                <w:szCs w:val="22"/>
              </w:rPr>
              <w:t>Es el fenómeno del mundo exterior que sirve para establecer la verdad de un hecho. Es la REALIDAD que se quiere probar: el documento que existe, el testigo que presenció los hechos, la huella que quedo. La fuente de prueba existe independientemente del proceso.</w:t>
            </w:r>
          </w:p>
          <w:p w14:paraId="302B6349" w14:textId="77777777" w:rsidR="00016CC1" w:rsidRPr="00016CC1" w:rsidRDefault="00016CC1" w:rsidP="00DD2DD5">
            <w:pPr>
              <w:jc w:val="both"/>
              <w:rPr>
                <w:rFonts w:ascii="Arial" w:hAnsi="Arial" w:cs="Arial"/>
                <w:sz w:val="22"/>
                <w:szCs w:val="22"/>
              </w:rPr>
            </w:pPr>
          </w:p>
          <w:p w14:paraId="0B8CBD8A"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MEDIO DE PRUEBA: </w:t>
            </w:r>
            <w:r w:rsidRPr="00016CC1">
              <w:rPr>
                <w:rFonts w:ascii="Arial" w:hAnsi="Arial" w:cs="Arial"/>
                <w:sz w:val="22"/>
                <w:szCs w:val="22"/>
              </w:rPr>
              <w:t>Es el INSTRUMENTO o MECANISMO procesal mediante el cual la fuente de prueba es introducida al proceso. Es el 'como' se prueba: la declaración del testigo, la exhibición del documento, el dictamen del perito. El medio de prueba nace dentro del proceso y tiene requisitos legales.</w:t>
            </w:r>
          </w:p>
          <w:p w14:paraId="31501EB1" w14:textId="77777777" w:rsidR="00016CC1" w:rsidRPr="00016CC1" w:rsidRDefault="00016CC1" w:rsidP="00DD2DD5">
            <w:pPr>
              <w:jc w:val="both"/>
              <w:rPr>
                <w:rFonts w:ascii="Arial" w:hAnsi="Arial" w:cs="Arial"/>
                <w:sz w:val="22"/>
                <w:szCs w:val="22"/>
              </w:rPr>
            </w:pPr>
          </w:p>
          <w:p w14:paraId="69B631AF"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ÓRGANO DE PRUEBA: </w:t>
            </w:r>
            <w:r w:rsidRPr="00016CC1">
              <w:rPr>
                <w:rFonts w:ascii="Arial" w:hAnsi="Arial" w:cs="Arial"/>
                <w:sz w:val="22"/>
                <w:szCs w:val="22"/>
              </w:rPr>
              <w:t>Es la PERSONA que porta la fuente de prueba y la introduce al proceso a través del medio de prueba. Puede ser un testigo (que narro lo que vio), un perito (que da su opinión técnica), o una parte (que declara sobre hechos propios).</w:t>
            </w:r>
          </w:p>
          <w:p w14:paraId="0D9CE80F" w14:textId="77777777" w:rsidR="00016CC1" w:rsidRPr="00016CC1" w:rsidRDefault="00016CC1" w:rsidP="00DD2DD5">
            <w:pPr>
              <w:jc w:val="both"/>
              <w:rPr>
                <w:rFonts w:ascii="Arial" w:hAnsi="Arial" w:cs="Arial"/>
                <w:sz w:val="22"/>
                <w:szCs w:val="22"/>
              </w:rPr>
            </w:pPr>
          </w:p>
          <w:p w14:paraId="577F46FD"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EJEMPLO INTEGRADOR: Una empresa tiene una factura (FUENTE DE PRUEBA) que acredita que su cliente recibió la mercancía. Para probar este hecho en el proceso, aporta la factura al expediente siguiendo los requisitos del CGP (MEDIO DE PRUEBA: prueba documental). El representante legal de la empresa que da fe de la factura actúa como ÓRGANO DE PRUEBA.</w:t>
            </w:r>
          </w:p>
        </w:tc>
      </w:tr>
    </w:tbl>
    <w:p w14:paraId="6956625A" w14:textId="77777777" w:rsidR="00016CC1" w:rsidRPr="00016CC1" w:rsidRDefault="00016CC1" w:rsidP="00016CC1">
      <w:pPr>
        <w:jc w:val="both"/>
        <w:rPr>
          <w:rFonts w:ascii="Arial" w:hAnsi="Arial" w:cs="Arial"/>
          <w:sz w:val="22"/>
          <w:szCs w:val="22"/>
        </w:rPr>
      </w:pPr>
    </w:p>
    <w:p w14:paraId="3207FAE0"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6.1.3 La Carga de la Prueba (Nous Probandi)</w:t>
      </w:r>
    </w:p>
    <w:p w14:paraId="77303797"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lastRenderedPageBreak/>
        <w:t>La carga de la prueba es uno de los conceptos más importantes del Derecho Probatorio: determina quien tiene el deber de probar los hechos dentro del proceso. Si quien tiene la carga no prueba, pierde.</w:t>
      </w:r>
    </w:p>
    <w:p w14:paraId="0FD1A25B"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artículo 167 del CGP establece la regla general: 'Incumbe a las partes probar el supuesto de hecho de las normas que consagran el efecto jurídico que ellas persiguen.' En lenguaje sencillo: quien afirma algo en el proceso debe probarlo.</w:t>
      </w:r>
    </w:p>
    <w:tbl>
      <w:tblPr>
        <w:tblW w:w="0" w:type="auto"/>
        <w:tblCellMar>
          <w:top w:w="15" w:type="dxa"/>
          <w:left w:w="15" w:type="dxa"/>
          <w:bottom w:w="15" w:type="dxa"/>
          <w:right w:w="15" w:type="dxa"/>
        </w:tblCellMar>
        <w:tblLook w:val="04A0" w:firstRow="1" w:lastRow="0" w:firstColumn="1" w:lastColumn="0" w:noHBand="0" w:noVBand="1"/>
      </w:tblPr>
      <w:tblGrid>
        <w:gridCol w:w="2320"/>
        <w:gridCol w:w="5114"/>
        <w:gridCol w:w="1394"/>
      </w:tblGrid>
      <w:tr w:rsidR="00016CC1" w:rsidRPr="00016CC1" w14:paraId="01B77AF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84E3254"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PARTE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AEDC656"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QUE DEBE PROBAR</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EDEBAF7"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NORMA</w:t>
            </w:r>
          </w:p>
        </w:tc>
      </w:tr>
      <w:tr w:rsidR="00016CC1" w:rsidRPr="00016CC1" w14:paraId="332C7B4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6F4F20D"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DEMANDANTE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DF6CFE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Los hechos en que fundamenta su pretensión. La existencia de la obligación. El incumplimiento. El daño (en responsabilidad).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0922F4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167 CGP</w:t>
            </w:r>
          </w:p>
        </w:tc>
      </w:tr>
      <w:tr w:rsidR="00016CC1" w:rsidRPr="00016CC1" w14:paraId="10B06D3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C822D8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DEMANDADO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91992F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Los hechos en que funda sus excepciones de mérito. El pago, si lo alega. La prescripción, si la invoca. La fuerza mayor, si la alega.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52828C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167 CGP</w:t>
            </w:r>
          </w:p>
        </w:tc>
      </w:tr>
      <w:tr w:rsidR="00016CC1" w:rsidRPr="00016CC1" w14:paraId="141FEFC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B5A056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PRESUNCIONES LEGALES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78D61D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Cuando la ley presume un hecho, la parte que se beneficia no tiene que probarlo: le corresponde a la contraparte probar que la presunción no aplica.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5F005E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Arts. 167, 166 CGP</w:t>
            </w:r>
          </w:p>
        </w:tc>
      </w:tr>
    </w:tbl>
    <w:p w14:paraId="283E4BE2" w14:textId="77777777" w:rsidR="00016CC1" w:rsidRPr="00016CC1" w:rsidRDefault="00016CC1" w:rsidP="00016CC1">
      <w:pPr>
        <w:jc w:val="both"/>
        <w:rPr>
          <w:rFonts w:ascii="Arial" w:hAnsi="Arial" w:cs="Arial"/>
          <w:sz w:val="22"/>
          <w:szCs w:val="22"/>
        </w:rPr>
      </w:pPr>
    </w:p>
    <w:p w14:paraId="78F1E57B"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6.1.4 La Carga Dinámica de la Prueba (Art. 167 inc. 2 CGP)</w:t>
      </w:r>
    </w:p>
    <w:p w14:paraId="72FD8B5A"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Una de las innovaciones más importantes del CGP en materia probatoria es la CARGA DINÁMICA DE LA PRUEBA. El artículo 167, inciso segundo, establece que el juez puede, según las circunstancias del caso, distribuir la carga de la prueba de manera diferente a la regla general, asignándola a la parte que este en mejores condiciones para probar el hecho.</w:t>
      </w:r>
    </w:p>
    <w:p w14:paraId="03D7FCA7"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carga dinámica busca corregir una injusticia frecuente: en muchos casos, una parte tiene el acceso a la información y la otra no. Por ejemplo, en una demanda contra un médico por mala praxis, el paciente raramente tiene acceso a la historia clinica completa ni al conocimiento técnico para probar el error. La carga dinámica permite al juez exigirle al médico (que si tiene ese acceso y ese conocimiento) que pruebe que actuó correctamente.</w:t>
      </w:r>
    </w:p>
    <w:p w14:paraId="10043703" w14:textId="77777777" w:rsidR="00016CC1" w:rsidRPr="00016CC1" w:rsidRDefault="00016CC1" w:rsidP="00016CC1">
      <w:pPr>
        <w:jc w:val="both"/>
        <w:rPr>
          <w:rFonts w:ascii="Arial" w:hAnsi="Arial" w:cs="Arial"/>
          <w:sz w:val="22"/>
          <w:szCs w:val="22"/>
        </w:rPr>
      </w:pPr>
    </w:p>
    <w:p w14:paraId="0CBF253E"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6.1.5 La Valoración de la Prueba: La Sana Critica</w:t>
      </w:r>
    </w:p>
    <w:p w14:paraId="1C046303"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Una vez las pruebas han sido practicadas, el juez debe valorarlas para decidir cuales hechos considera probados. El CGP adopta el sistema de la SANA CRITICA (Art. 176): el juez valora las pruebas según las reglas de la lógica, de la ciencia y de las máximas de la experiencia, sin estar atado a tarifas legales que le digan cuánto vale cada prueba.</w:t>
      </w:r>
    </w:p>
    <w:p w14:paraId="6F57395D" w14:textId="77777777" w:rsidR="00016CC1" w:rsidRPr="00016CC1" w:rsidRDefault="00016CC1" w:rsidP="00016CC1">
      <w:pPr>
        <w:jc w:val="both"/>
        <w:rPr>
          <w:rFonts w:ascii="Arial" w:hAnsi="Arial" w:cs="Arial"/>
          <w:sz w:val="22"/>
          <w:szCs w:val="22"/>
        </w:rPr>
      </w:pPr>
    </w:p>
    <w:p w14:paraId="0040855F"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Esto es opuesto al antiguo sistema de tarifa legal, en el que la ley le asignaba un valor predeterminado a cada prueba (ej. 'dos testigos mayores de edad prueban plenamente un hecho'). Con la sana critica, el juez tiene libertad pero tambien responsabilidad: debe motivar racionalmente por que le da credibilidad a una prueba y por qué no a otra.</w:t>
      </w:r>
    </w:p>
    <w:p w14:paraId="4649463B"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CAPSULA 6.2</w:t>
      </w:r>
    </w:p>
    <w:p w14:paraId="04183289"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MEDIOS DE PRUEBA EN EL CGP</w:t>
      </w:r>
    </w:p>
    <w:p w14:paraId="2F575F41" w14:textId="77777777" w:rsidR="00016CC1" w:rsidRPr="00016CC1" w:rsidRDefault="00016CC1" w:rsidP="00016CC1">
      <w:pPr>
        <w:jc w:val="both"/>
        <w:rPr>
          <w:rFonts w:ascii="Arial" w:hAnsi="Arial" w:cs="Arial"/>
          <w:sz w:val="22"/>
          <w:szCs w:val="22"/>
        </w:rPr>
      </w:pPr>
    </w:p>
    <w:p w14:paraId="45EDFDE8"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6.2.1 Los Medios de Prueba: Catalogo Legal</w:t>
      </w:r>
    </w:p>
    <w:p w14:paraId="56327716"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artículo 165 del CGP establece el catálogo de medios de prueba admisibles en el proceso civil colombiano. Este catálogo es ABIERTO: ademas de los medios expresamente mencionados, el juez puede valorar cualquier otro medio que sea útil, pertinente y legalmente obtenido.</w:t>
      </w:r>
    </w:p>
    <w:tbl>
      <w:tblPr>
        <w:tblW w:w="0" w:type="auto"/>
        <w:tblCellMar>
          <w:top w:w="15" w:type="dxa"/>
          <w:left w:w="15" w:type="dxa"/>
          <w:bottom w:w="15" w:type="dxa"/>
          <w:right w:w="15" w:type="dxa"/>
        </w:tblCellMar>
        <w:tblLook w:val="04A0" w:firstRow="1" w:lastRow="0" w:firstColumn="1" w:lastColumn="0" w:noHBand="0" w:noVBand="1"/>
      </w:tblPr>
      <w:tblGrid>
        <w:gridCol w:w="1872"/>
        <w:gridCol w:w="5644"/>
        <w:gridCol w:w="1312"/>
      </w:tblGrid>
      <w:tr w:rsidR="00016CC1" w:rsidRPr="00016CC1" w14:paraId="24DE0F0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90F5D9B"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lastRenderedPageBreak/>
              <w:t>MEDIO DE PRUEBA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D87029D"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DESCRIPCIÓN BÁSICA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F7C0BD1"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NORMA CGP</w:t>
            </w:r>
          </w:p>
        </w:tc>
      </w:tr>
      <w:tr w:rsidR="00016CC1" w:rsidRPr="00016CC1" w14:paraId="22F5AE0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5F3E2B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Declaración de parte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84DC93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Una de las partes del proceso declara sobre hechos propios o ajenos que le constan.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B2D467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Arts. 191-201</w:t>
            </w:r>
          </w:p>
        </w:tc>
      </w:tr>
      <w:tr w:rsidR="00016CC1" w:rsidRPr="00016CC1" w14:paraId="3E1F2B6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62332F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Testimonio de terceros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F670C7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Un tercero ajeno al proceso narra ante el juez lo que percibió con sus sentidos sobre los hechos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F55154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Arts. 208-228</w:t>
            </w:r>
          </w:p>
        </w:tc>
      </w:tr>
      <w:tr w:rsidR="00016CC1" w:rsidRPr="00016CC1" w14:paraId="2A282F8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CD0CEA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Documentos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193E9E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Escritos, fotografías, videos, grabaciones, mensajes de datos, planos, que contienen o representan hechos relevantes.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2802C1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Arts. 243-269</w:t>
            </w:r>
          </w:p>
        </w:tc>
      </w:tr>
      <w:tr w:rsidR="00016CC1" w:rsidRPr="00016CC1" w14:paraId="450F3C4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2B4CDE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Dictamen pericial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D4B4C4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Experto en una disciplina técnica o científica emite una opinión fundada sobre hechos que el juez no puede evaluar por sí mismo.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CB9200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Arts. 226-235</w:t>
            </w:r>
          </w:p>
        </w:tc>
      </w:tr>
      <w:tr w:rsidR="00016CC1" w:rsidRPr="00016CC1" w14:paraId="63FEF67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489754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Inspección judicial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64B85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juez se desplaza físicamente al lugar de los hechos para percibirlos directamente.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B0117E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Arts. 236-242</w:t>
            </w:r>
          </w:p>
        </w:tc>
      </w:tr>
      <w:tr w:rsidR="00016CC1" w:rsidRPr="00016CC1" w14:paraId="0D1BB82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743507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Indicios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C728F0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Hechos conocidos y probados de los que el juez puede inferir, mediante un razonamiento lógico, hechos desconocidos y relevantes.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1E65A1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240 CGP</w:t>
            </w:r>
          </w:p>
        </w:tc>
      </w:tr>
      <w:tr w:rsidR="00016CC1" w:rsidRPr="00016CC1" w14:paraId="024EE53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B7514D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Informes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5ADB0C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Información suministrada por entidades públicas o privadas sobre hechos de su conocimiento o registros.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362D9E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270 CGP</w:t>
            </w:r>
          </w:p>
        </w:tc>
      </w:tr>
    </w:tbl>
    <w:p w14:paraId="27BD18F9" w14:textId="77777777" w:rsidR="00016CC1" w:rsidRPr="00016CC1" w:rsidRDefault="00016CC1" w:rsidP="00016CC1">
      <w:pPr>
        <w:jc w:val="both"/>
        <w:rPr>
          <w:rFonts w:ascii="Arial" w:hAnsi="Arial" w:cs="Arial"/>
          <w:sz w:val="22"/>
          <w:szCs w:val="22"/>
        </w:rPr>
      </w:pPr>
    </w:p>
    <w:p w14:paraId="1C73CAB3"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6.2.2 La Declaración de Parte: Cuando la Propia Parte Habla</w:t>
      </w:r>
    </w:p>
    <w:p w14:paraId="2133EF06"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DECLARACIÓN DE PARTE (Arts. 191-207 CGP) es el medio de prueba por el que una de las partes del proceso declara sobre hechos propios o de su conocimiento. Es una de las figuras más relevantes del nuevo proceso oral.</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7D81080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60658348"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MODALIDADES DE LA DECLARACIÓN DE PARTE (CGP)</w:t>
            </w:r>
          </w:p>
          <w:p w14:paraId="316A53A6"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INTERROGATORIO DE PARTE (Art. 202): </w:t>
            </w:r>
            <w:r w:rsidRPr="00016CC1">
              <w:rPr>
                <w:rFonts w:ascii="Arial" w:hAnsi="Arial" w:cs="Arial"/>
                <w:sz w:val="22"/>
                <w:szCs w:val="22"/>
              </w:rPr>
              <w:t>Una parte puede solicitar que la contraparte sea interrogada en audiencia sobre hechos que le constan. El juez dirige el interrogatorio. Las preguntas deben ser claras, precisas y referidas a los hechos del proceso.</w:t>
            </w:r>
          </w:p>
          <w:p w14:paraId="5717CFC2" w14:textId="77777777" w:rsidR="00016CC1" w:rsidRPr="00016CC1" w:rsidRDefault="00016CC1" w:rsidP="00DD2DD5">
            <w:pPr>
              <w:jc w:val="both"/>
              <w:rPr>
                <w:rFonts w:ascii="Arial" w:hAnsi="Arial" w:cs="Arial"/>
                <w:sz w:val="22"/>
                <w:szCs w:val="22"/>
              </w:rPr>
            </w:pPr>
          </w:p>
          <w:p w14:paraId="478A381E"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INTERROGATORIO DECRETADO DE OFICIO (Art. 201): </w:t>
            </w:r>
            <w:r w:rsidRPr="00016CC1">
              <w:rPr>
                <w:rFonts w:ascii="Arial" w:hAnsi="Arial" w:cs="Arial"/>
                <w:sz w:val="22"/>
                <w:szCs w:val="22"/>
              </w:rPr>
              <w:t>El juez puede, de oficio, interrogar a cualquiera de las partes para aclarar hechos oscuros o contradictorios.</w:t>
            </w:r>
          </w:p>
          <w:p w14:paraId="1C97AD4B" w14:textId="77777777" w:rsidR="00016CC1" w:rsidRPr="00016CC1" w:rsidRDefault="00016CC1" w:rsidP="00DD2DD5">
            <w:pPr>
              <w:jc w:val="both"/>
              <w:rPr>
                <w:rFonts w:ascii="Arial" w:hAnsi="Arial" w:cs="Arial"/>
                <w:sz w:val="22"/>
                <w:szCs w:val="22"/>
              </w:rPr>
            </w:pPr>
          </w:p>
          <w:p w14:paraId="01DFDA49"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LA CONFESIÓN (Art. 191): </w:t>
            </w:r>
            <w:r w:rsidRPr="00016CC1">
              <w:rPr>
                <w:rFonts w:ascii="Arial" w:hAnsi="Arial" w:cs="Arial"/>
                <w:sz w:val="22"/>
                <w:szCs w:val="22"/>
              </w:rPr>
              <w:t>Cuando la parte reconoce hechos que le son desfavorables y de los cuales se derivan consecuencias jurídicas en su contra. La confesión es la 'reina de las pruebas' en el sentido de que tiene un alto poder convectivo, pero en el CGP ya no hace plena prueba automáticamente: el juez la valora junto con las demas pruebas según la sana critica.</w:t>
            </w:r>
          </w:p>
          <w:p w14:paraId="03C5D34D" w14:textId="77777777" w:rsidR="00016CC1" w:rsidRPr="00016CC1" w:rsidRDefault="00016CC1" w:rsidP="00DD2DD5">
            <w:pPr>
              <w:jc w:val="both"/>
              <w:rPr>
                <w:rFonts w:ascii="Arial" w:hAnsi="Arial" w:cs="Arial"/>
                <w:sz w:val="22"/>
                <w:szCs w:val="22"/>
              </w:rPr>
            </w:pPr>
          </w:p>
          <w:p w14:paraId="5747EDF7"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CONFESIÓN FICTA (Art. 205): </w:t>
            </w:r>
            <w:r w:rsidRPr="00016CC1">
              <w:rPr>
                <w:rFonts w:ascii="Arial" w:hAnsi="Arial" w:cs="Arial"/>
                <w:sz w:val="22"/>
                <w:szCs w:val="22"/>
              </w:rPr>
              <w:t>Cuando la parte citada al interrogatorio no comparece sin justa causa, el juez puede tener por probados los hechos de la demanda o de la contestación que sean susceptibles de confesión. Es una sanción procesal a la inasistencia injustificada.</w:t>
            </w:r>
          </w:p>
        </w:tc>
      </w:tr>
    </w:tbl>
    <w:p w14:paraId="5A1D7691" w14:textId="77777777" w:rsidR="00016CC1" w:rsidRPr="00016CC1" w:rsidRDefault="00016CC1" w:rsidP="00016CC1">
      <w:pPr>
        <w:jc w:val="both"/>
        <w:rPr>
          <w:rFonts w:ascii="Arial" w:hAnsi="Arial" w:cs="Arial"/>
          <w:sz w:val="22"/>
          <w:szCs w:val="22"/>
        </w:rPr>
      </w:pPr>
    </w:p>
    <w:p w14:paraId="375A6EEB"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6.2.3 El Testimonio: La Palabra del Testigo</w:t>
      </w:r>
    </w:p>
    <w:p w14:paraId="235E09D6"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TESTIMONIO (Arts. 208-228 CGP) es la declaración que hace un tercero -alguien ajeno al proceso- sobre hechos que percibió con sus propios sentidos (vista, oído, olfato, etc.) y que son relevantes para el proceso.</w:t>
      </w:r>
    </w:p>
    <w:p w14:paraId="69AC0FC3"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Con el proceso oral del CGP, el testimonio se practica en audiencia, con preguntas del abogado que lo solicito (interrogatorio directo), del abogado contrario (contrainterrogatorio), y del juez. Esta estructura adversarial busca depurar la credibilidad del testigo y la confiabilidad de su relato.</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6C2EDEA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08E58E73"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EVALUACIÓN DE LA CREDIBILIDAD DEL TESTIGO</w:t>
            </w:r>
          </w:p>
          <w:p w14:paraId="699686C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juez, al valorar un testimonio bajo la sana critica, debe analizar:</w:t>
            </w:r>
          </w:p>
          <w:p w14:paraId="4EBC5DB3" w14:textId="77777777" w:rsidR="00016CC1" w:rsidRPr="00016CC1" w:rsidRDefault="00016CC1" w:rsidP="00016CC1">
            <w:pPr>
              <w:numPr>
                <w:ilvl w:val="0"/>
                <w:numId w:val="74"/>
              </w:numPr>
              <w:jc w:val="both"/>
              <w:rPr>
                <w:rFonts w:ascii="Arial" w:hAnsi="Arial" w:cs="Arial"/>
                <w:sz w:val="22"/>
                <w:szCs w:val="22"/>
              </w:rPr>
            </w:pPr>
            <w:r w:rsidRPr="00016CC1">
              <w:rPr>
                <w:rFonts w:ascii="Arial" w:hAnsi="Arial" w:cs="Arial"/>
                <w:sz w:val="22"/>
                <w:szCs w:val="22"/>
              </w:rPr>
              <w:t>Condiciones de percepción: Como percibió el hecho? Estaba en condiciones de verlo/oírlo? Que tan cerca estaba?</w:t>
            </w:r>
          </w:p>
          <w:p w14:paraId="2B636FB9" w14:textId="77777777" w:rsidR="00016CC1" w:rsidRPr="00016CC1" w:rsidRDefault="00016CC1" w:rsidP="00016CC1">
            <w:pPr>
              <w:numPr>
                <w:ilvl w:val="0"/>
                <w:numId w:val="74"/>
              </w:numPr>
              <w:jc w:val="both"/>
              <w:rPr>
                <w:rFonts w:ascii="Arial" w:hAnsi="Arial" w:cs="Arial"/>
                <w:sz w:val="22"/>
                <w:szCs w:val="22"/>
              </w:rPr>
            </w:pPr>
            <w:r w:rsidRPr="00016CC1">
              <w:rPr>
                <w:rFonts w:ascii="Arial" w:hAnsi="Arial" w:cs="Arial"/>
                <w:sz w:val="22"/>
                <w:szCs w:val="22"/>
              </w:rPr>
              <w:t>Condiciones de memoria: Cuanto tiempo ha pasado? Tiene motivos para recordar bien o mal?</w:t>
            </w:r>
          </w:p>
          <w:p w14:paraId="20C1E1ED" w14:textId="77777777" w:rsidR="00016CC1" w:rsidRPr="00016CC1" w:rsidRDefault="00016CC1" w:rsidP="00016CC1">
            <w:pPr>
              <w:numPr>
                <w:ilvl w:val="0"/>
                <w:numId w:val="74"/>
              </w:numPr>
              <w:jc w:val="both"/>
              <w:rPr>
                <w:rFonts w:ascii="Arial" w:hAnsi="Arial" w:cs="Arial"/>
                <w:sz w:val="22"/>
                <w:szCs w:val="22"/>
              </w:rPr>
            </w:pPr>
            <w:r w:rsidRPr="00016CC1">
              <w:rPr>
                <w:rFonts w:ascii="Arial" w:hAnsi="Arial" w:cs="Arial"/>
                <w:sz w:val="22"/>
                <w:szCs w:val="22"/>
              </w:rPr>
              <w:t>Imparcialidad: Tiene relacion de parentesco, amistad o enemistad con las partes? Tiene interés en el resultado?</w:t>
            </w:r>
          </w:p>
          <w:p w14:paraId="49051325" w14:textId="77777777" w:rsidR="00016CC1" w:rsidRPr="00016CC1" w:rsidRDefault="00016CC1" w:rsidP="00016CC1">
            <w:pPr>
              <w:numPr>
                <w:ilvl w:val="0"/>
                <w:numId w:val="74"/>
              </w:numPr>
              <w:jc w:val="both"/>
              <w:rPr>
                <w:rFonts w:ascii="Arial" w:hAnsi="Arial" w:cs="Arial"/>
                <w:sz w:val="22"/>
                <w:szCs w:val="22"/>
              </w:rPr>
            </w:pPr>
            <w:r w:rsidRPr="00016CC1">
              <w:rPr>
                <w:rFonts w:ascii="Arial" w:hAnsi="Arial" w:cs="Arial"/>
                <w:sz w:val="22"/>
                <w:szCs w:val="22"/>
              </w:rPr>
              <w:t>Coherencia interna: Su relato es consistente o se contradice en diferentes partes del testimonio?</w:t>
            </w:r>
          </w:p>
          <w:p w14:paraId="62BC484F" w14:textId="77777777" w:rsidR="00016CC1" w:rsidRPr="00016CC1" w:rsidRDefault="00016CC1" w:rsidP="00016CC1">
            <w:pPr>
              <w:numPr>
                <w:ilvl w:val="0"/>
                <w:numId w:val="74"/>
              </w:numPr>
              <w:jc w:val="both"/>
              <w:rPr>
                <w:rFonts w:ascii="Arial" w:hAnsi="Arial" w:cs="Arial"/>
                <w:sz w:val="22"/>
                <w:szCs w:val="22"/>
              </w:rPr>
            </w:pPr>
            <w:r w:rsidRPr="00016CC1">
              <w:rPr>
                <w:rFonts w:ascii="Arial" w:hAnsi="Arial" w:cs="Arial"/>
                <w:sz w:val="22"/>
                <w:szCs w:val="22"/>
              </w:rPr>
              <w:t>Coherencia externa: Su relato es compatible con las demas pruebas del proceso?</w:t>
            </w:r>
          </w:p>
        </w:tc>
      </w:tr>
    </w:tbl>
    <w:p w14:paraId="5D21AD33" w14:textId="77777777" w:rsidR="00016CC1" w:rsidRPr="00016CC1" w:rsidRDefault="00016CC1" w:rsidP="00016CC1">
      <w:pPr>
        <w:jc w:val="both"/>
        <w:rPr>
          <w:rFonts w:ascii="Arial" w:hAnsi="Arial" w:cs="Arial"/>
          <w:sz w:val="22"/>
          <w:szCs w:val="22"/>
        </w:rPr>
      </w:pPr>
    </w:p>
    <w:p w14:paraId="6FFE5E42"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6.2.4 La Prueba Documental: El Pilar del Litigio Civil</w:t>
      </w:r>
    </w:p>
    <w:p w14:paraId="0C72F6ED"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PRUEBA DOCUMENTAL (Arts. 243-269 CGP) es, en la práctica del litigio civil colombiano, el medio de prueba más importante y más frecuente. Los contratos, las facturas, los correos electrónicos, los extractos bancarios, los certificados de tradición, los registros comerciales: todo ello son documentos que el CGP reconoce como medios de prueba.</w:t>
      </w:r>
    </w:p>
    <w:tbl>
      <w:tblPr>
        <w:tblW w:w="0" w:type="auto"/>
        <w:tblCellMar>
          <w:top w:w="15" w:type="dxa"/>
          <w:left w:w="15" w:type="dxa"/>
          <w:bottom w:w="15" w:type="dxa"/>
          <w:right w:w="15" w:type="dxa"/>
        </w:tblCellMar>
        <w:tblLook w:val="04A0" w:firstRow="1" w:lastRow="0" w:firstColumn="1" w:lastColumn="0" w:noHBand="0" w:noVBand="1"/>
      </w:tblPr>
      <w:tblGrid>
        <w:gridCol w:w="2276"/>
        <w:gridCol w:w="3435"/>
        <w:gridCol w:w="3117"/>
      </w:tblGrid>
      <w:tr w:rsidR="00016CC1" w:rsidRPr="00016CC1" w14:paraId="1F388AD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17799C5"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TIPO DE DOCUMENTO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452F2D5"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D3AAE2C"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VALOR PROBATORIO</w:t>
            </w:r>
          </w:p>
        </w:tc>
      </w:tr>
      <w:tr w:rsidR="00016CC1" w:rsidRPr="00016CC1" w14:paraId="0FD5A32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732AD5F"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Documento publico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E3204D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Expedido por funcionario público en ejercicio de sus funciones (escritura pública, acta notarial, registro civil, certificado catastral).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FF11C3F"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Hace fe de su contenido y de la fecha de su otorgamiento. Presunción de autenticidad.</w:t>
            </w:r>
          </w:p>
        </w:tc>
      </w:tr>
      <w:tr w:rsidR="00016CC1" w:rsidRPr="00016CC1" w14:paraId="6F31F45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1E1228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Documento privado autenticado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4F7601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Documento privado cuya firma fue reconocida ante notario o funcionario competente.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12DA57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Presunción de autenticidad de la firma. El contenido puede discutirse.</w:t>
            </w:r>
          </w:p>
        </w:tc>
      </w:tr>
      <w:tr w:rsidR="00016CC1" w:rsidRPr="00016CC1" w14:paraId="2998176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A7872B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Documento privado sin autenticar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9D5DC1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Contratos, cartas, correos, facturas. La parte contraria puede desconocer su autenticidad.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C68BFF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Si la parte contraria no lo tacha de falso (Art. 269 CGP), se presume autentico.</w:t>
            </w:r>
          </w:p>
        </w:tc>
      </w:tr>
      <w:tr w:rsidR="00016CC1" w:rsidRPr="00016CC1" w14:paraId="1AE43A7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AC6B39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Mensaje de datos (correo electrónico, WhatsApp, etc.)</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3E58F2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Comunicaciones digitales. Ley 527 de 1999 los reconoce como equivalentes funcionales del documento escrito.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8B10A4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 xml:space="preserve">Tienen el mismo valor que el documento fisico si se acredita su autenticidad. </w:t>
            </w:r>
            <w:r w:rsidRPr="00016CC1">
              <w:rPr>
                <w:rFonts w:ascii="Arial" w:hAnsi="Arial" w:cs="Arial"/>
                <w:sz w:val="22"/>
                <w:szCs w:val="22"/>
              </w:rPr>
              <w:lastRenderedPageBreak/>
              <w:t>Pueden requerir peritaje informático.</w:t>
            </w:r>
          </w:p>
        </w:tc>
      </w:tr>
    </w:tbl>
    <w:p w14:paraId="40A36D3A" w14:textId="77777777" w:rsidR="00016CC1" w:rsidRPr="00016CC1" w:rsidRDefault="00016CC1" w:rsidP="00016CC1">
      <w:pPr>
        <w:jc w:val="both"/>
        <w:rPr>
          <w:rFonts w:ascii="Arial" w:hAnsi="Arial" w:cs="Arial"/>
          <w:sz w:val="22"/>
          <w:szCs w:val="22"/>
        </w:rPr>
      </w:pPr>
    </w:p>
    <w:p w14:paraId="58A211ED"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6.2.5 El Dictamen Pericial: La Ciencia al Servicio del Proceso</w:t>
      </w:r>
    </w:p>
    <w:p w14:paraId="5C96925A"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DICTAMEN PERICIAL (Arts. 226-235 CGP) es el medio de prueba por el que un experto en una disciplina técnica, científica o artística emite una opinión fundada sobre hechos que el juez, por carecer de esos conocimientos especializados, no puede evaluar por sí mismo.</w:t>
      </w:r>
    </w:p>
    <w:p w14:paraId="17797E0F"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CGP de 2012 introdujo una innovación fundamental: ademas del perito designado por el juez (perito oficial), cada parte puede presentar su PROPIO PERITO (perito de parte) que elabore un dictamen independiente. Esto genera un debate técnico entre los dos peritos que el juez evalúa con la sana critica.</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4227FB0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2AE5C67D"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MATERIAS TÍPICAS DEL DICTAMEN PERICIAL EN PROCESOS CIVILES</w:t>
            </w:r>
          </w:p>
          <w:p w14:paraId="4BFC765C" w14:textId="77777777" w:rsidR="00016CC1" w:rsidRPr="00016CC1" w:rsidRDefault="00016CC1" w:rsidP="00016CC1">
            <w:pPr>
              <w:numPr>
                <w:ilvl w:val="0"/>
                <w:numId w:val="75"/>
              </w:numPr>
              <w:jc w:val="both"/>
              <w:rPr>
                <w:rFonts w:ascii="Arial" w:hAnsi="Arial" w:cs="Arial"/>
                <w:sz w:val="22"/>
                <w:szCs w:val="22"/>
              </w:rPr>
            </w:pPr>
            <w:r w:rsidRPr="00016CC1">
              <w:rPr>
                <w:rFonts w:ascii="Arial" w:hAnsi="Arial" w:cs="Arial"/>
                <w:sz w:val="22"/>
                <w:szCs w:val="22"/>
              </w:rPr>
              <w:t>Avalúos de bienes inmuebles y muebles para procesos de responsabilidad, sucesión o liquidación.</w:t>
            </w:r>
          </w:p>
          <w:p w14:paraId="2F55962B" w14:textId="77777777" w:rsidR="00016CC1" w:rsidRPr="00016CC1" w:rsidRDefault="00016CC1" w:rsidP="00016CC1">
            <w:pPr>
              <w:numPr>
                <w:ilvl w:val="0"/>
                <w:numId w:val="75"/>
              </w:numPr>
              <w:jc w:val="both"/>
              <w:rPr>
                <w:rFonts w:ascii="Arial" w:hAnsi="Arial" w:cs="Arial"/>
                <w:sz w:val="22"/>
                <w:szCs w:val="22"/>
              </w:rPr>
            </w:pPr>
            <w:r w:rsidRPr="00016CC1">
              <w:rPr>
                <w:rFonts w:ascii="Arial" w:hAnsi="Arial" w:cs="Arial"/>
                <w:sz w:val="22"/>
                <w:szCs w:val="22"/>
              </w:rPr>
              <w:t>Perjuicios económicos y lucro cesante en procesos de responsabilidad civil.</w:t>
            </w:r>
          </w:p>
          <w:p w14:paraId="016EB4EF" w14:textId="77777777" w:rsidR="00016CC1" w:rsidRPr="00016CC1" w:rsidRDefault="00016CC1" w:rsidP="00016CC1">
            <w:pPr>
              <w:numPr>
                <w:ilvl w:val="0"/>
                <w:numId w:val="75"/>
              </w:numPr>
              <w:jc w:val="both"/>
              <w:rPr>
                <w:rFonts w:ascii="Arial" w:hAnsi="Arial" w:cs="Arial"/>
                <w:sz w:val="22"/>
                <w:szCs w:val="22"/>
              </w:rPr>
            </w:pPr>
            <w:r w:rsidRPr="00016CC1">
              <w:rPr>
                <w:rFonts w:ascii="Arial" w:hAnsi="Arial" w:cs="Arial"/>
                <w:sz w:val="22"/>
                <w:szCs w:val="22"/>
              </w:rPr>
              <w:t>Autenticidad de firmas y documentos (peritaje grafológico o documentoscopico).</w:t>
            </w:r>
          </w:p>
          <w:p w14:paraId="0F1FE8FA" w14:textId="77777777" w:rsidR="00016CC1" w:rsidRPr="00016CC1" w:rsidRDefault="00016CC1" w:rsidP="00016CC1">
            <w:pPr>
              <w:numPr>
                <w:ilvl w:val="0"/>
                <w:numId w:val="75"/>
              </w:numPr>
              <w:jc w:val="both"/>
              <w:rPr>
                <w:rFonts w:ascii="Arial" w:hAnsi="Arial" w:cs="Arial"/>
                <w:sz w:val="22"/>
                <w:szCs w:val="22"/>
              </w:rPr>
            </w:pPr>
            <w:r w:rsidRPr="00016CC1">
              <w:rPr>
                <w:rFonts w:ascii="Arial" w:hAnsi="Arial" w:cs="Arial"/>
                <w:sz w:val="22"/>
                <w:szCs w:val="22"/>
              </w:rPr>
              <w:t>Vicios de construcción en procesos contra constructoras.</w:t>
            </w:r>
          </w:p>
          <w:p w14:paraId="5639827B" w14:textId="77777777" w:rsidR="00016CC1" w:rsidRPr="00016CC1" w:rsidRDefault="00016CC1" w:rsidP="00016CC1">
            <w:pPr>
              <w:numPr>
                <w:ilvl w:val="0"/>
                <w:numId w:val="75"/>
              </w:numPr>
              <w:jc w:val="both"/>
              <w:rPr>
                <w:rFonts w:ascii="Arial" w:hAnsi="Arial" w:cs="Arial"/>
                <w:sz w:val="22"/>
                <w:szCs w:val="22"/>
              </w:rPr>
            </w:pPr>
            <w:r w:rsidRPr="00016CC1">
              <w:rPr>
                <w:rFonts w:ascii="Arial" w:hAnsi="Arial" w:cs="Arial"/>
                <w:sz w:val="22"/>
                <w:szCs w:val="22"/>
              </w:rPr>
              <w:t>Autenticidad de mensajes de datos y correos electrónicos (peritaje informático).</w:t>
            </w:r>
          </w:p>
          <w:p w14:paraId="774F8ED8" w14:textId="77777777" w:rsidR="00016CC1" w:rsidRPr="00016CC1" w:rsidRDefault="00016CC1" w:rsidP="00016CC1">
            <w:pPr>
              <w:numPr>
                <w:ilvl w:val="0"/>
                <w:numId w:val="75"/>
              </w:numPr>
              <w:jc w:val="both"/>
              <w:rPr>
                <w:rFonts w:ascii="Arial" w:hAnsi="Arial" w:cs="Arial"/>
                <w:sz w:val="22"/>
                <w:szCs w:val="22"/>
              </w:rPr>
            </w:pPr>
            <w:r w:rsidRPr="00016CC1">
              <w:rPr>
                <w:rFonts w:ascii="Arial" w:hAnsi="Arial" w:cs="Arial"/>
                <w:sz w:val="22"/>
                <w:szCs w:val="22"/>
              </w:rPr>
              <w:t>Estados financieros y contabilidad en procesos societarios.</w:t>
            </w:r>
          </w:p>
        </w:tc>
      </w:tr>
    </w:tbl>
    <w:p w14:paraId="12D6912B" w14:textId="77777777" w:rsidR="00016CC1" w:rsidRPr="00016CC1" w:rsidRDefault="00016CC1" w:rsidP="00016CC1">
      <w:pPr>
        <w:jc w:val="both"/>
        <w:rPr>
          <w:rFonts w:ascii="Arial" w:hAnsi="Arial" w:cs="Arial"/>
          <w:sz w:val="22"/>
          <w:szCs w:val="22"/>
        </w:rPr>
      </w:pPr>
    </w:p>
    <w:p w14:paraId="4C8BCCA0"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CAPSULA 6.3</w:t>
      </w:r>
    </w:p>
    <w:p w14:paraId="2A360432"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LA COSA JUZGADA: EL CIERRE DEFINITIVO DEL CONFLICTO</w:t>
      </w:r>
    </w:p>
    <w:p w14:paraId="754BC57B" w14:textId="77777777" w:rsidR="00016CC1" w:rsidRPr="00016CC1" w:rsidRDefault="00016CC1" w:rsidP="00016CC1">
      <w:pPr>
        <w:jc w:val="both"/>
        <w:rPr>
          <w:rFonts w:ascii="Arial" w:hAnsi="Arial" w:cs="Arial"/>
          <w:sz w:val="22"/>
          <w:szCs w:val="22"/>
        </w:rPr>
      </w:pPr>
    </w:p>
    <w:p w14:paraId="76E3FF49" w14:textId="77777777" w:rsidR="00016CC1" w:rsidRPr="00016CC1" w:rsidRDefault="00016CC1" w:rsidP="00016CC1">
      <w:pPr>
        <w:jc w:val="both"/>
        <w:rPr>
          <w:rFonts w:ascii="Arial" w:hAnsi="Arial" w:cs="Arial"/>
          <w:sz w:val="22"/>
          <w:szCs w:val="22"/>
        </w:rPr>
      </w:pPr>
    </w:p>
    <w:p w14:paraId="23C57A40"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6.3.1 Que es la Cosa Juzgada?</w:t>
      </w:r>
    </w:p>
    <w:p w14:paraId="69EF9DEC"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COSA JUZGADA (res indicara) es el efecto más importante de la sentencia ejecutoriada: una vez que un proceso termina con sentencia definitiva y se agotan los recursos, la controversia resuelta no puede volver a ser discutida JAMÁS. Lo decidido es inmutable, irrevocable e inatacable.</w:t>
      </w:r>
    </w:p>
    <w:p w14:paraId="288A5B2D"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cosa juzgada es una garantía de SEGURIDAD JURIDICA: sin ella, nadie podría tener certeza sobre el resultado de un litigio, pues el perdedor podría simplemente iniciar un nuevo proceso sobre lo mismo. El artículo 303 del CGP la regula, y tiene rango constitucional implícito en el artículo 29 C.P. (non bis in ídem).</w:t>
      </w:r>
    </w:p>
    <w:p w14:paraId="5ED88B29" w14:textId="77777777" w:rsidR="00016CC1" w:rsidRPr="00016CC1" w:rsidRDefault="00016CC1" w:rsidP="00016CC1">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5963"/>
      </w:tblGrid>
      <w:tr w:rsidR="00016CC1" w:rsidRPr="00016CC1" w14:paraId="2E18D3B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BF4FB"/>
            <w:tcMar>
              <w:top w:w="140" w:type="dxa"/>
              <w:left w:w="200" w:type="dxa"/>
              <w:bottom w:w="140" w:type="dxa"/>
              <w:right w:w="200" w:type="dxa"/>
            </w:tcMar>
            <w:hideMark/>
          </w:tcPr>
          <w:p w14:paraId="345F9E7A" w14:textId="77777777" w:rsidR="00016CC1" w:rsidRPr="00016CC1" w:rsidRDefault="00016CC1" w:rsidP="00DD2DD5">
            <w:pPr>
              <w:jc w:val="both"/>
              <w:rPr>
                <w:rFonts w:ascii="Arial" w:hAnsi="Arial" w:cs="Arial"/>
                <w:sz w:val="22"/>
                <w:szCs w:val="22"/>
              </w:rPr>
            </w:pPr>
            <w:r w:rsidRPr="00016CC1">
              <w:rPr>
                <w:rFonts w:ascii="Arial" w:hAnsi="Arial" w:cs="Arial"/>
                <w:b/>
                <w:bCs/>
                <w:i/>
                <w:iCs/>
                <w:sz w:val="22"/>
                <w:szCs w:val="22"/>
              </w:rPr>
              <w:t>"Lo que fue juzgado no puede ser juzgado de nuevo"</w:t>
            </w:r>
          </w:p>
          <w:p w14:paraId="534F8E7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Principio de Cosa Juzgada - Art. 303 CGP y Art. 29 C.P.</w:t>
            </w:r>
          </w:p>
        </w:tc>
      </w:tr>
    </w:tbl>
    <w:p w14:paraId="097E78E2" w14:textId="77777777" w:rsidR="00016CC1" w:rsidRPr="00016CC1" w:rsidRDefault="00016CC1" w:rsidP="00016CC1">
      <w:pPr>
        <w:jc w:val="both"/>
        <w:rPr>
          <w:rFonts w:ascii="Arial" w:hAnsi="Arial" w:cs="Arial"/>
          <w:sz w:val="22"/>
          <w:szCs w:val="22"/>
        </w:rPr>
      </w:pPr>
    </w:p>
    <w:p w14:paraId="53F03D6F"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6.3.2 Los Tres Elementos de la Cosa Juzgada (Art. 303 CGP)</w:t>
      </w:r>
    </w:p>
    <w:p w14:paraId="4271A22B"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Para que una sentencia produzca cosa juzgada que impida un nuevo proceso, deben coincidir TRES ELEMENTOS entre el proceso anterior y el nuevo que se intenta iniciar. Si falta alguno de los tres, no hay cosa juzgada y el nuevo proceso puede adelantarse:</w:t>
      </w:r>
    </w:p>
    <w:tbl>
      <w:tblPr>
        <w:tblW w:w="0" w:type="auto"/>
        <w:tblCellMar>
          <w:top w:w="15" w:type="dxa"/>
          <w:left w:w="15" w:type="dxa"/>
          <w:bottom w:w="15" w:type="dxa"/>
          <w:right w:w="15" w:type="dxa"/>
        </w:tblCellMar>
        <w:tblLook w:val="04A0" w:firstRow="1" w:lastRow="0" w:firstColumn="1" w:lastColumn="0" w:noHBand="0" w:noVBand="1"/>
      </w:tblPr>
      <w:tblGrid>
        <w:gridCol w:w="1987"/>
        <w:gridCol w:w="3058"/>
        <w:gridCol w:w="3783"/>
      </w:tblGrid>
      <w:tr w:rsidR="00016CC1" w:rsidRPr="00016CC1" w14:paraId="39AE653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C67131B"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ELEMENTO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954B139"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11FBD50"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EJEMPLO</w:t>
            </w:r>
          </w:p>
        </w:tc>
      </w:tr>
      <w:tr w:rsidR="00016CC1" w:rsidRPr="00016CC1" w14:paraId="361034F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26E40A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IDENTIDAD DE PARTES (Eadem personae)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AB24EA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 xml:space="preserve">Las mismas personas que fueron partes en el primer proceso o sus sucesores o </w:t>
            </w:r>
            <w:r w:rsidRPr="00016CC1">
              <w:rPr>
                <w:rFonts w:ascii="Arial" w:hAnsi="Arial" w:cs="Arial"/>
                <w:sz w:val="22"/>
                <w:szCs w:val="22"/>
              </w:rPr>
              <w:lastRenderedPageBreak/>
              <w:t>causahabientes universales.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57F774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lastRenderedPageBreak/>
              <w:t xml:space="preserve">Pedro demandó a Juan y ganó. Juan no puede demandar a Pedro por lo mismo. Tampoco puede </w:t>
            </w:r>
            <w:r w:rsidRPr="00016CC1">
              <w:rPr>
                <w:rFonts w:ascii="Arial" w:hAnsi="Arial" w:cs="Arial"/>
                <w:sz w:val="22"/>
                <w:szCs w:val="22"/>
              </w:rPr>
              <w:lastRenderedPageBreak/>
              <w:t>demandarlo el heredero de Juan por la misma causa.</w:t>
            </w:r>
          </w:p>
        </w:tc>
      </w:tr>
      <w:tr w:rsidR="00016CC1" w:rsidRPr="00016CC1" w14:paraId="269F8A9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6CBBA2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lastRenderedPageBreak/>
              <w:t>IDENTIDAD DE OBJETO (Eadem res)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0B0166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Lo que se pide en el nuevo proceso es lo mismo que se pidió en el proceso anterior.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E58FAF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Si en el primer proceso se pidió la resolución del contrato, no puede pedirse de nuevo la resolución del mismo contrato entre las mismas partes.</w:t>
            </w:r>
          </w:p>
        </w:tc>
      </w:tr>
      <w:tr w:rsidR="00016CC1" w:rsidRPr="00016CC1" w14:paraId="7ECDF61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194FF6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IDENTIDAD DE CAUSA (Eadem causa petendi)</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C15E00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fundamento jurídico y factual de la pretensión es el mismo en ambos procesos.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E3FC0A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Si la demanda se basó en el incumplimiento del contrato de 2020, un nuevo proceso no puede basarse en el mismo incumplimiento aunque cambie el argumento jurídico.</w:t>
            </w:r>
          </w:p>
        </w:tc>
      </w:tr>
    </w:tbl>
    <w:p w14:paraId="3E67D2FC" w14:textId="77777777" w:rsidR="00016CC1" w:rsidRPr="00016CC1" w:rsidRDefault="00016CC1" w:rsidP="00016CC1">
      <w:pPr>
        <w:jc w:val="both"/>
        <w:rPr>
          <w:rFonts w:ascii="Arial" w:hAnsi="Arial" w:cs="Arial"/>
          <w:sz w:val="22"/>
          <w:szCs w:val="22"/>
        </w:rPr>
      </w:pPr>
    </w:p>
    <w:p w14:paraId="3015F194"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6.3.3 Cosa Juzgada Formal vs. Cosa Juzgada Material</w:t>
      </w:r>
    </w:p>
    <w:tbl>
      <w:tblPr>
        <w:tblW w:w="0" w:type="auto"/>
        <w:tblCellMar>
          <w:top w:w="15" w:type="dxa"/>
          <w:left w:w="15" w:type="dxa"/>
          <w:bottom w:w="15" w:type="dxa"/>
          <w:right w:w="15" w:type="dxa"/>
        </w:tblCellMar>
        <w:tblLook w:val="04A0" w:firstRow="1" w:lastRow="0" w:firstColumn="1" w:lastColumn="0" w:noHBand="0" w:noVBand="1"/>
      </w:tblPr>
      <w:tblGrid>
        <w:gridCol w:w="1639"/>
        <w:gridCol w:w="3654"/>
        <w:gridCol w:w="3535"/>
      </w:tblGrid>
      <w:tr w:rsidR="00016CC1" w:rsidRPr="00016CC1" w14:paraId="1DA175B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4E1810C"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TIPO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A2091BB"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E83B41B"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EFECTO</w:t>
            </w:r>
          </w:p>
        </w:tc>
      </w:tr>
      <w:tr w:rsidR="00016CC1" w:rsidRPr="00016CC1" w14:paraId="0A1E366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62D6B0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COSA JUZGADA FORMAL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76F05C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 sentencia es inmutable DENTRO del mismo proceso: no puede modificarse por los recursos ordinarios porque ya se agotaron o vencieron los términos.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3DFCF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Impide reabrir la discusión dentro del mismo proceso. La sentencia es definitiva para ese proceso.</w:t>
            </w:r>
          </w:p>
        </w:tc>
      </w:tr>
      <w:tr w:rsidR="00016CC1" w:rsidRPr="00016CC1" w14:paraId="1BC3A3D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419900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COSA JUZGADA MATERIAL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3B7B73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 sentencia es inmutable hacia FUTURO: impide que las mismas partes inicien un nuevo proceso sobre el mismo objeto y causa.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9FB60F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Impide iniciar un nuevo proceso. Si se intenta, el juez debe rechazar la demanda. La excepción de cosa juzgada la puede proponer el demandado (Art. 100 núm. 9 CGP).</w:t>
            </w:r>
          </w:p>
        </w:tc>
      </w:tr>
    </w:tbl>
    <w:p w14:paraId="3B726812" w14:textId="77777777" w:rsidR="00016CC1" w:rsidRPr="00016CC1" w:rsidRDefault="00016CC1" w:rsidP="00016CC1">
      <w:pPr>
        <w:jc w:val="both"/>
        <w:rPr>
          <w:rFonts w:ascii="Arial" w:hAnsi="Arial" w:cs="Arial"/>
          <w:sz w:val="22"/>
          <w:szCs w:val="22"/>
        </w:rPr>
      </w:pPr>
    </w:p>
    <w:p w14:paraId="2F0F4E03"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6.3.4 Limites y Excepciones a la Cosa Juzgada</w:t>
      </w:r>
    </w:p>
    <w:p w14:paraId="793089E6"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cosa juzgada no es absoluta. Existen situaciones en que la ley permite revisar una sentencia ejecutoriada:</w:t>
      </w:r>
    </w:p>
    <w:p w14:paraId="56274154" w14:textId="77777777" w:rsidR="00016CC1" w:rsidRPr="00016CC1" w:rsidRDefault="00016CC1" w:rsidP="00016CC1">
      <w:pPr>
        <w:numPr>
          <w:ilvl w:val="0"/>
          <w:numId w:val="76"/>
        </w:numPr>
        <w:jc w:val="both"/>
        <w:rPr>
          <w:rFonts w:ascii="Arial" w:hAnsi="Arial" w:cs="Arial"/>
          <w:sz w:val="22"/>
          <w:szCs w:val="22"/>
        </w:rPr>
      </w:pPr>
      <w:r w:rsidRPr="00016CC1">
        <w:rPr>
          <w:rFonts w:ascii="Arial" w:hAnsi="Arial" w:cs="Arial"/>
          <w:sz w:val="22"/>
          <w:szCs w:val="22"/>
        </w:rPr>
        <w:t>RECURSO EXTRAORDINARIO DE REVISION (Art. 354 CGP): procede contra sentencias ejecutoriadas cuando se descubren hechos nuevos que no pudieron conocerse en el proceso original, o cuando hubo dolo, fraude o colusión en su obtención. Es la 'válvula de seguridad' del sistema.</w:t>
      </w:r>
    </w:p>
    <w:p w14:paraId="3B020843" w14:textId="77777777" w:rsidR="00016CC1" w:rsidRPr="00016CC1" w:rsidRDefault="00016CC1" w:rsidP="00016CC1">
      <w:pPr>
        <w:numPr>
          <w:ilvl w:val="0"/>
          <w:numId w:val="76"/>
        </w:numPr>
        <w:jc w:val="both"/>
        <w:rPr>
          <w:rFonts w:ascii="Arial" w:hAnsi="Arial" w:cs="Arial"/>
          <w:sz w:val="22"/>
          <w:szCs w:val="22"/>
        </w:rPr>
      </w:pPr>
      <w:r w:rsidRPr="00016CC1">
        <w:rPr>
          <w:rFonts w:ascii="Arial" w:hAnsi="Arial" w:cs="Arial"/>
          <w:sz w:val="22"/>
          <w:szCs w:val="22"/>
        </w:rPr>
        <w:t>COSA JUZGADA RELATIVA O APARENTE: cuando la sentencia se obtuvo mediante fraude procesal, la jurisprudencia ha admitido que no produce cosa juzgada real. El proceso fraudulento es nulo de pleno derecho.</w:t>
      </w:r>
    </w:p>
    <w:p w14:paraId="5803B686" w14:textId="77777777" w:rsidR="00016CC1" w:rsidRPr="00016CC1" w:rsidRDefault="00016CC1" w:rsidP="00016CC1">
      <w:pPr>
        <w:numPr>
          <w:ilvl w:val="0"/>
          <w:numId w:val="76"/>
        </w:numPr>
        <w:jc w:val="both"/>
        <w:rPr>
          <w:rFonts w:ascii="Arial" w:hAnsi="Arial" w:cs="Arial"/>
          <w:sz w:val="22"/>
          <w:szCs w:val="22"/>
        </w:rPr>
      </w:pPr>
      <w:r w:rsidRPr="00016CC1">
        <w:rPr>
          <w:rFonts w:ascii="Arial" w:hAnsi="Arial" w:cs="Arial"/>
          <w:sz w:val="22"/>
          <w:szCs w:val="22"/>
        </w:rPr>
        <w:t>COSA JUZGADA EN PROCESOS DE ESTADO CIVIL: las sentencias sobre estado civil de las personas (filiación, matrimonio) producen efectos erga omnes, pero pueden revisarse si se descubren nuevas pruebas de ADN u otras evidencias biológicas.</w:t>
      </w:r>
    </w:p>
    <w:p w14:paraId="217E17C3" w14:textId="77777777" w:rsidR="00016CC1" w:rsidRPr="00016CC1" w:rsidRDefault="00016CC1" w:rsidP="00016CC1">
      <w:pPr>
        <w:numPr>
          <w:ilvl w:val="0"/>
          <w:numId w:val="76"/>
        </w:numPr>
        <w:jc w:val="both"/>
        <w:rPr>
          <w:rFonts w:ascii="Arial" w:hAnsi="Arial" w:cs="Arial"/>
          <w:sz w:val="22"/>
          <w:szCs w:val="22"/>
        </w:rPr>
      </w:pPr>
      <w:r w:rsidRPr="00016CC1">
        <w:rPr>
          <w:rFonts w:ascii="Arial" w:hAnsi="Arial" w:cs="Arial"/>
          <w:sz w:val="22"/>
          <w:szCs w:val="22"/>
        </w:rPr>
        <w:t>SENTENCIAS DE LA CORTE INTERAMERICANA: Colombia ha reconocido la competencia de la Corte IDH, cuyas sentencias pueden obligar a revisar decisiones judiciales internas que violaron derechos humanos.</w:t>
      </w:r>
    </w:p>
    <w:p w14:paraId="7D624896" w14:textId="77777777" w:rsidR="00016CC1" w:rsidRPr="00016CC1" w:rsidRDefault="00016CC1" w:rsidP="00016CC1">
      <w:pPr>
        <w:jc w:val="both"/>
        <w:rPr>
          <w:rFonts w:ascii="Arial" w:hAnsi="Arial" w:cs="Arial"/>
          <w:sz w:val="22"/>
          <w:szCs w:val="22"/>
        </w:rPr>
      </w:pPr>
    </w:p>
    <w:p w14:paraId="3E879DE6"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lastRenderedPageBreak/>
        <w:t>CAPSULA 6.4</w:t>
      </w:r>
    </w:p>
    <w:p w14:paraId="73C160AF"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MECANISMOS ALTERNATIVOS DE SOLUCIÓN DE CONFLICTOS (MASC)</w:t>
      </w:r>
    </w:p>
    <w:p w14:paraId="5CA71B80" w14:textId="77777777" w:rsidR="00016CC1" w:rsidRPr="00016CC1" w:rsidRDefault="00016CC1" w:rsidP="00016CC1">
      <w:pPr>
        <w:jc w:val="both"/>
        <w:rPr>
          <w:rFonts w:ascii="Arial" w:hAnsi="Arial" w:cs="Arial"/>
          <w:sz w:val="22"/>
          <w:szCs w:val="22"/>
        </w:rPr>
      </w:pPr>
    </w:p>
    <w:p w14:paraId="11D6D625" w14:textId="77777777" w:rsidR="00016CC1" w:rsidRPr="00016CC1" w:rsidRDefault="00016CC1" w:rsidP="00016CC1">
      <w:pPr>
        <w:jc w:val="both"/>
        <w:rPr>
          <w:rFonts w:ascii="Arial" w:hAnsi="Arial" w:cs="Arial"/>
          <w:sz w:val="22"/>
          <w:szCs w:val="22"/>
        </w:rPr>
      </w:pPr>
    </w:p>
    <w:p w14:paraId="79E1F858"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6.4.1 Porque Existen los MASC?</w:t>
      </w:r>
    </w:p>
    <w:p w14:paraId="6D013CEE"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proceso judicial, con todo su valor como garantía del Estado de Derecho, tiene limitaciones practicas serias: es costoso, lento y en muchos casos destruye definitivamente la relacion entre las partes (nadie queda 'amigo' despues de un litigio de varios años). Los MASC son la respuesta del ordenamiento jurídico a estas limitaciones.</w:t>
      </w:r>
    </w:p>
    <w:p w14:paraId="638B6521"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artículo 13 del CGP establece que el Estado promueve la utilización de los MASC como parte integral del sistema de acceso a la justicia. La Ley 446 de 1998 y la Ley 640 de 2001 construyeron el marco legal de los MASC en Colombia. El artículo 116 de la Constitución les da respaldo constitucional al permitir que particulares administren justicia como conciliadores o árbitros.</w:t>
      </w:r>
    </w:p>
    <w:p w14:paraId="75B387C4" w14:textId="77777777" w:rsidR="00016CC1" w:rsidRPr="00016CC1" w:rsidRDefault="00016CC1" w:rsidP="00016CC1">
      <w:pPr>
        <w:jc w:val="both"/>
        <w:rPr>
          <w:rFonts w:ascii="Arial" w:hAnsi="Arial" w:cs="Arial"/>
          <w:sz w:val="22"/>
          <w:szCs w:val="22"/>
        </w:rPr>
      </w:pPr>
    </w:p>
    <w:p w14:paraId="036C4FCF"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6.4.2 Clasificación de los MASC</w:t>
      </w:r>
    </w:p>
    <w:tbl>
      <w:tblPr>
        <w:tblW w:w="0" w:type="auto"/>
        <w:tblCellMar>
          <w:top w:w="15" w:type="dxa"/>
          <w:left w:w="15" w:type="dxa"/>
          <w:bottom w:w="15" w:type="dxa"/>
          <w:right w:w="15" w:type="dxa"/>
        </w:tblCellMar>
        <w:tblLook w:val="04A0" w:firstRow="1" w:lastRow="0" w:firstColumn="1" w:lastColumn="0" w:noHBand="0" w:noVBand="1"/>
      </w:tblPr>
      <w:tblGrid>
        <w:gridCol w:w="1892"/>
        <w:gridCol w:w="2189"/>
        <w:gridCol w:w="1547"/>
        <w:gridCol w:w="2063"/>
        <w:gridCol w:w="1137"/>
      </w:tblGrid>
      <w:tr w:rsidR="00016CC1" w:rsidRPr="00016CC1" w14:paraId="18B815F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D3E775D"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MECANISMO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0760959"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NATURALEZA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B5157CD"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QUIEN DECIDE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AA21D5B"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RESULTADO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84CE348"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NORMA</w:t>
            </w:r>
          </w:p>
        </w:tc>
      </w:tr>
      <w:tr w:rsidR="00016CC1" w:rsidRPr="00016CC1" w14:paraId="1E12DAA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2FE2F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NEGOCIACIÓN DIRECTA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D234B6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Autocomposición sin tercero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E10FCF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Las propias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CC6943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Acuerdo privado (contrato). Efecto: obligación contractual.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931944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Cod. Civil Arts. 1494 y ss.</w:t>
            </w:r>
          </w:p>
        </w:tc>
      </w:tr>
      <w:tr w:rsidR="00016CC1" w:rsidRPr="00016CC1" w14:paraId="659DCC7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45A6D7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CONCILIACIÓN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C2553C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Autocomposición con tercero facilitador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F0CD1D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Las partes (el conciliador solo facilita)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9D9F97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Acta de conciliación con efecto de cosa juzgada y merito ejecutivo.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A435EEF"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Ley 640/01 / Art. 66 Ley 446/98</w:t>
            </w:r>
          </w:p>
        </w:tc>
      </w:tr>
      <w:tr w:rsidR="00016CC1" w:rsidRPr="00016CC1" w14:paraId="4C4D48D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1B9E2A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MEDIACIÓN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339BA7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Autocomposición con tercero facilitador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B393A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Las partes (el mediador no impone)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C33D2B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Acuerdo voluntario entre las partes. No hace cosa juzgada automáticamente.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B26D88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Ley 1563/12 Arts. 81-84</w:t>
            </w:r>
          </w:p>
        </w:tc>
      </w:tr>
      <w:tr w:rsidR="00016CC1" w:rsidRPr="00016CC1" w14:paraId="261420F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BF0814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AMIGABLE COMPOSICIÓN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49C4F7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Heterocomposición convencional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BA17DC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amigable componedor (tercero designado por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D63AE5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Laudo de amigable composición. Vinculante por fuerza contractual.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424E28D"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Ley 1563/12 Arts. 59-66</w:t>
            </w:r>
          </w:p>
        </w:tc>
      </w:tr>
      <w:tr w:rsidR="00016CC1" w:rsidRPr="00016CC1" w14:paraId="581F2F1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D41E3E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ARBITRAJE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3D1AB0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Heterocomposición convencional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D9BF52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tribunal de arbitramento (árbitros)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318B46F"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Laudo arbitral con efectos de sentencia judicial.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5CEC31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Ley 1563 de 2012</w:t>
            </w:r>
          </w:p>
        </w:tc>
      </w:tr>
    </w:tbl>
    <w:p w14:paraId="3F5F1246" w14:textId="77777777" w:rsidR="00016CC1" w:rsidRPr="00016CC1" w:rsidRDefault="00016CC1" w:rsidP="00016CC1">
      <w:pPr>
        <w:jc w:val="both"/>
        <w:rPr>
          <w:rFonts w:ascii="Arial" w:hAnsi="Arial" w:cs="Arial"/>
          <w:sz w:val="22"/>
          <w:szCs w:val="22"/>
        </w:rPr>
      </w:pPr>
    </w:p>
    <w:p w14:paraId="3D4CDDBF"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6.4.3 La Amigable Composición: Una Figura Poco Conocida</w:t>
      </w:r>
    </w:p>
    <w:p w14:paraId="48E3CBD1"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lastRenderedPageBreak/>
        <w:t>La AMIGABLE COMPOSICIÓN (Arts. 59-66 Ley 1563 de 2012) es un MASC hetero compositivo que con frecuencia se confunde con el arbitraje. Sus diferencias son importantes:</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3D07A89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660EEC30"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ARBITRAJE vs. AMIGABLE COMPOSICIÓN</w:t>
            </w:r>
          </w:p>
          <w:tbl>
            <w:tblPr>
              <w:tblW w:w="0" w:type="auto"/>
              <w:tblCellMar>
                <w:top w:w="15" w:type="dxa"/>
                <w:left w:w="15" w:type="dxa"/>
                <w:bottom w:w="15" w:type="dxa"/>
                <w:right w:w="15" w:type="dxa"/>
              </w:tblCellMar>
              <w:tblLook w:val="04A0" w:firstRow="1" w:lastRow="0" w:firstColumn="1" w:lastColumn="0" w:noHBand="0" w:noVBand="1"/>
            </w:tblPr>
            <w:tblGrid>
              <w:gridCol w:w="1951"/>
              <w:gridCol w:w="2546"/>
              <w:gridCol w:w="3921"/>
            </w:tblGrid>
            <w:tr w:rsidR="00016CC1" w:rsidRPr="00016CC1" w14:paraId="0B66D0B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587D06A"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CRITERIO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65370B0"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ARBITRAJE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A16E547"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AMIGABLE COMPOSICIÓN</w:t>
                  </w:r>
                </w:p>
              </w:tc>
            </w:tr>
            <w:tr w:rsidR="00016CC1" w:rsidRPr="00016CC1" w14:paraId="5C8AEED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26233AF"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Quien decide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C65785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Árbitros (que ejercen función jurisdiccional)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BC5C10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Amigable componedor (que actúa como mandatario de las partes)</w:t>
                  </w:r>
                </w:p>
              </w:tc>
            </w:tr>
            <w:tr w:rsidR="00016CC1" w:rsidRPr="00016CC1" w14:paraId="7800A0B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8F99FB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Naturaleza de la decisión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B71C78F"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Laudo arbitral: equivale a sentencia judicial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701B81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Laudo de amigable composición: equivale a un contrato. Obliga por voluntad de las partes.</w:t>
                  </w:r>
                </w:p>
              </w:tc>
            </w:tr>
            <w:tr w:rsidR="00016CC1" w:rsidRPr="00016CC1" w14:paraId="7E7830C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B22CCE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Recurso contra la decisión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11B586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Recurso de anulación ante el Tribunal Superior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11BB19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Solo recursos contractuales: nulidad por dolo, error, fuerza</w:t>
                  </w:r>
                </w:p>
              </w:tc>
            </w:tr>
            <w:tr w:rsidR="00016CC1" w:rsidRPr="00016CC1" w14:paraId="53299BD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3F48DC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Ejecución forzosa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7F0B1D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Directamente como sentencia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7E339B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Como contrato: primero debe demandarse el cumplimiento</w:t>
                  </w:r>
                </w:p>
              </w:tc>
            </w:tr>
            <w:tr w:rsidR="00016CC1" w:rsidRPr="00016CC1" w14:paraId="308B8E7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E4D2F3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Arbitrabilidad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219718D"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Solo controversias de libre disposición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52611F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Igual: solo asuntos disponibles por las partes</w:t>
                  </w:r>
                </w:p>
              </w:tc>
            </w:tr>
          </w:tbl>
          <w:p w14:paraId="74E62ADF" w14:textId="77777777" w:rsidR="00016CC1" w:rsidRPr="00016CC1" w:rsidRDefault="00016CC1" w:rsidP="00DD2DD5">
            <w:pPr>
              <w:jc w:val="both"/>
              <w:rPr>
                <w:rFonts w:ascii="Arial" w:hAnsi="Arial" w:cs="Arial"/>
                <w:sz w:val="22"/>
                <w:szCs w:val="22"/>
              </w:rPr>
            </w:pPr>
          </w:p>
        </w:tc>
      </w:tr>
    </w:tbl>
    <w:p w14:paraId="69DAB0BE" w14:textId="77777777" w:rsidR="00016CC1" w:rsidRPr="00016CC1" w:rsidRDefault="00016CC1" w:rsidP="00016CC1">
      <w:pPr>
        <w:jc w:val="both"/>
        <w:rPr>
          <w:rFonts w:ascii="Arial" w:hAnsi="Arial" w:cs="Arial"/>
          <w:sz w:val="22"/>
          <w:szCs w:val="22"/>
        </w:rPr>
      </w:pPr>
    </w:p>
    <w:p w14:paraId="05BB62B6"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6.4.4 Como Elegir el MASC Correcto</w:t>
      </w:r>
    </w:p>
    <w:p w14:paraId="00C692FF"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elección del MASC adecuado depende de varios factores que el abogado debe evaluar con el cliente:</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73C5AAE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5D0200EC"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FACTORES PARA ELEGIR EL MASC CORRECTO</w:t>
            </w:r>
          </w:p>
          <w:p w14:paraId="30EA5818"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Relacion entre las partes: </w:t>
            </w:r>
            <w:r w:rsidRPr="00016CC1">
              <w:rPr>
                <w:rFonts w:ascii="Arial" w:hAnsi="Arial" w:cs="Arial"/>
                <w:sz w:val="22"/>
                <w:szCs w:val="22"/>
              </w:rPr>
              <w:t>Si la relacion es continua (socio comercial, arrendatario, familiar), la conciliación o mediación es preferible porque preserva el vínculo. Si la relacion ya está rota, el arbitraje puede ser más eficiente.</w:t>
            </w:r>
          </w:p>
          <w:p w14:paraId="2942676A" w14:textId="77777777" w:rsidR="00016CC1" w:rsidRPr="00016CC1" w:rsidRDefault="00016CC1" w:rsidP="00DD2DD5">
            <w:pPr>
              <w:jc w:val="both"/>
              <w:rPr>
                <w:rFonts w:ascii="Arial" w:hAnsi="Arial" w:cs="Arial"/>
                <w:sz w:val="22"/>
                <w:szCs w:val="22"/>
              </w:rPr>
            </w:pPr>
          </w:p>
          <w:p w14:paraId="7386070D"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Cuantia y complejidad: </w:t>
            </w:r>
            <w:r w:rsidRPr="00016CC1">
              <w:rPr>
                <w:rFonts w:ascii="Arial" w:hAnsi="Arial" w:cs="Arial"/>
                <w:sz w:val="22"/>
                <w:szCs w:val="22"/>
              </w:rPr>
              <w:t>Para asuntos de alta cuantia y complejidad técnica, el arbitraje con árbitros especializados puede ser superior al juzgado civil ordinario. Para conflictos menores, la conciliación es la opción natural.</w:t>
            </w:r>
          </w:p>
          <w:p w14:paraId="77C96ABE" w14:textId="77777777" w:rsidR="00016CC1" w:rsidRPr="00016CC1" w:rsidRDefault="00016CC1" w:rsidP="00DD2DD5">
            <w:pPr>
              <w:jc w:val="both"/>
              <w:rPr>
                <w:rFonts w:ascii="Arial" w:hAnsi="Arial" w:cs="Arial"/>
                <w:sz w:val="22"/>
                <w:szCs w:val="22"/>
              </w:rPr>
            </w:pPr>
          </w:p>
          <w:p w14:paraId="0510DFF5"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Velocidad: </w:t>
            </w:r>
            <w:r w:rsidRPr="00016CC1">
              <w:rPr>
                <w:rFonts w:ascii="Arial" w:hAnsi="Arial" w:cs="Arial"/>
                <w:sz w:val="22"/>
                <w:szCs w:val="22"/>
              </w:rPr>
              <w:t>La conciliación puede resolverse en una sola audiencia. El arbitraje tiene plazos (no más de 6 meses prorrogables en el arbitraje nacional). El proceso civil ordinario puede durar anos.</w:t>
            </w:r>
          </w:p>
          <w:p w14:paraId="736C60E4" w14:textId="77777777" w:rsidR="00016CC1" w:rsidRPr="00016CC1" w:rsidRDefault="00016CC1" w:rsidP="00DD2DD5">
            <w:pPr>
              <w:jc w:val="both"/>
              <w:rPr>
                <w:rFonts w:ascii="Arial" w:hAnsi="Arial" w:cs="Arial"/>
                <w:sz w:val="22"/>
                <w:szCs w:val="22"/>
              </w:rPr>
            </w:pPr>
          </w:p>
          <w:p w14:paraId="1FCDEF16"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Confidencialidad: </w:t>
            </w:r>
            <w:r w:rsidRPr="00016CC1">
              <w:rPr>
                <w:rFonts w:ascii="Arial" w:hAnsi="Arial" w:cs="Arial"/>
                <w:sz w:val="22"/>
                <w:szCs w:val="22"/>
              </w:rPr>
              <w:t>Los MASC son generalmente confidenciales (el acta de conciliación puede restringirse, el arbitraje puede ser privado). El proceso judicial es público.</w:t>
            </w:r>
          </w:p>
          <w:p w14:paraId="3A59D3F8" w14:textId="77777777" w:rsidR="00016CC1" w:rsidRPr="00016CC1" w:rsidRDefault="00016CC1" w:rsidP="00DD2DD5">
            <w:pPr>
              <w:jc w:val="both"/>
              <w:rPr>
                <w:rFonts w:ascii="Arial" w:hAnsi="Arial" w:cs="Arial"/>
                <w:sz w:val="22"/>
                <w:szCs w:val="22"/>
              </w:rPr>
            </w:pPr>
          </w:p>
          <w:p w14:paraId="232594AE"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Costo: </w:t>
            </w:r>
            <w:r w:rsidRPr="00016CC1">
              <w:rPr>
                <w:rFonts w:ascii="Arial" w:hAnsi="Arial" w:cs="Arial"/>
                <w:sz w:val="22"/>
                <w:szCs w:val="22"/>
              </w:rPr>
              <w:t>El arbitraje en grandes centros (Cámara de Comercio de Bogotá) es costoso para conflictos de alta cuantia. La conciliación en centros universitarios o ante defensores del pueblo es casi gratuita.</w:t>
            </w:r>
          </w:p>
        </w:tc>
      </w:tr>
    </w:tbl>
    <w:p w14:paraId="013A5C01"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CAPSULA 6.5</w:t>
      </w:r>
    </w:p>
    <w:p w14:paraId="36E83E0C"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LA CONCILIACIÓN EXTRAJUDICIAL: REQUISITO DE PROCEDIBILIDAD</w:t>
      </w:r>
    </w:p>
    <w:p w14:paraId="06A1283B" w14:textId="77777777" w:rsidR="00016CC1" w:rsidRPr="00016CC1" w:rsidRDefault="00016CC1" w:rsidP="00016CC1">
      <w:pPr>
        <w:jc w:val="both"/>
        <w:rPr>
          <w:rFonts w:ascii="Arial" w:hAnsi="Arial" w:cs="Arial"/>
          <w:sz w:val="22"/>
          <w:szCs w:val="22"/>
        </w:rPr>
      </w:pPr>
    </w:p>
    <w:p w14:paraId="6F912484" w14:textId="77777777" w:rsidR="00016CC1" w:rsidRPr="00016CC1" w:rsidRDefault="00016CC1" w:rsidP="00016CC1">
      <w:pPr>
        <w:jc w:val="both"/>
        <w:rPr>
          <w:rFonts w:ascii="Arial" w:hAnsi="Arial" w:cs="Arial"/>
          <w:sz w:val="22"/>
          <w:szCs w:val="22"/>
        </w:rPr>
      </w:pPr>
    </w:p>
    <w:p w14:paraId="2E32C7ED"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lastRenderedPageBreak/>
        <w:t>6.5.1 Que es la Conciliación?</w:t>
      </w:r>
    </w:p>
    <w:p w14:paraId="6D2C9F32"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CONCILIACIÓN es el mecanismo de solución de conflictos por el que las partes, asistidas por un CONCILIADOR (que puede ser un abogado habilitado, un notario, un personero, un defensor del pueblo o un funcionario de un centro de conciliación autorizado), buscan llegar a un acuerdo que resuelva su controversia.</w:t>
      </w:r>
    </w:p>
    <w:p w14:paraId="63E421AB"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La conciliación tiene una característica que la hace especialmente valiosa: el acta de conciliación aprobada por el conciliador o por el juez tiene los mismos efectos que una SENTENCIA JUDICIAL EJECUTORIADA. Presta merito ejecutivo y hace tránsito a cosa juzgada (Art. 66 Ley 446 de 1998). Esto significa que si una de las partes incumple el acuerdo, la otra puede ejecutarlo directamente sin necesidad de un nuevo proceso.</w:t>
      </w:r>
    </w:p>
    <w:p w14:paraId="41EC9B86" w14:textId="77777777" w:rsidR="00016CC1" w:rsidRPr="00016CC1" w:rsidRDefault="00016CC1" w:rsidP="00016CC1">
      <w:pPr>
        <w:jc w:val="both"/>
        <w:rPr>
          <w:rFonts w:ascii="Arial" w:hAnsi="Arial" w:cs="Arial"/>
          <w:sz w:val="22"/>
          <w:szCs w:val="22"/>
        </w:rPr>
      </w:pPr>
    </w:p>
    <w:p w14:paraId="2D174DEE"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6.5.2 La Conciliación como Requisito de Procedibilidad (Art. 35 Ley 640/01)</w:t>
      </w:r>
    </w:p>
    <w:p w14:paraId="72156CAA"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Uno de los aspectos más importantes de la conciliación en Colombia es que en ciertas materias es OBLIGATORIO intentar conciliar ANTES de presentar la demanda judicial. Si se omite este requisito, el juez rechazara la demanda.</w:t>
      </w:r>
    </w:p>
    <w:p w14:paraId="3AF6A15B"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artículo 35 de la Ley 640 de 2001 establece el requisito de procedibilidad: 'Quien pretenda demandar ante la jurisdicción civil... deberá agotar el trámite de la conciliación extrajudicial en derecho como requisito de procedibilidad.'</w:t>
      </w:r>
    </w:p>
    <w:p w14:paraId="2298F39B" w14:textId="77777777" w:rsidR="00016CC1" w:rsidRPr="00016CC1" w:rsidRDefault="00016CC1" w:rsidP="00016CC1">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090C727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60C64917"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MATERIAS EN QUE LA CONCILIACIÓN ES REQUISITO DE PROCEDIBILIDAD</w:t>
            </w:r>
          </w:p>
          <w:p w14:paraId="31EED1A5"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MATERIA CIVIL: </w:t>
            </w:r>
            <w:r w:rsidRPr="00016CC1">
              <w:rPr>
                <w:rFonts w:ascii="Arial" w:hAnsi="Arial" w:cs="Arial"/>
                <w:sz w:val="22"/>
                <w:szCs w:val="22"/>
              </w:rPr>
              <w:t>Los procesos declarativos de mayor y menor cuantia requieren conciliación extrajudicial previa. Los procesos ejecutivos NO requieren conciliación previa (Art. 38 Ley 640/01).</w:t>
            </w:r>
          </w:p>
          <w:p w14:paraId="31ED7C10" w14:textId="77777777" w:rsidR="00016CC1" w:rsidRPr="00016CC1" w:rsidRDefault="00016CC1" w:rsidP="00DD2DD5">
            <w:pPr>
              <w:jc w:val="both"/>
              <w:rPr>
                <w:rFonts w:ascii="Arial" w:hAnsi="Arial" w:cs="Arial"/>
                <w:sz w:val="22"/>
                <w:szCs w:val="22"/>
              </w:rPr>
            </w:pPr>
          </w:p>
          <w:p w14:paraId="7EBD3279"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MATERIA LABORAL: </w:t>
            </w:r>
            <w:r w:rsidRPr="00016CC1">
              <w:rPr>
                <w:rFonts w:ascii="Arial" w:hAnsi="Arial" w:cs="Arial"/>
                <w:sz w:val="22"/>
                <w:szCs w:val="22"/>
              </w:rPr>
              <w:t>Los conflictos laborales individuales que vayan a tramitarse ante la jurisdicción ordinaria laboral requieren conciliación o constancia de intento fallido ante inspector del trabajo, juez laboral o centro de conciliación (Art. 35 Ley 640/01).</w:t>
            </w:r>
          </w:p>
          <w:p w14:paraId="3B4642CB" w14:textId="77777777" w:rsidR="00016CC1" w:rsidRPr="00016CC1" w:rsidRDefault="00016CC1" w:rsidP="00DD2DD5">
            <w:pPr>
              <w:jc w:val="both"/>
              <w:rPr>
                <w:rFonts w:ascii="Arial" w:hAnsi="Arial" w:cs="Arial"/>
                <w:sz w:val="22"/>
                <w:szCs w:val="22"/>
              </w:rPr>
            </w:pPr>
          </w:p>
          <w:p w14:paraId="117D42E3"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MATERIA DE FAMILIA: </w:t>
            </w:r>
            <w:r w:rsidRPr="00016CC1">
              <w:rPr>
                <w:rFonts w:ascii="Arial" w:hAnsi="Arial" w:cs="Arial"/>
                <w:sz w:val="22"/>
                <w:szCs w:val="22"/>
              </w:rPr>
              <w:t>Los procesos de alimentos, custodia, visitas, divorcios de mutuo acuerdo y otros asuntos de familia requieren intento de conciliación previa ante el Defensor de Familia, comisaria de familia o notario (Art. 40 Ley 640/01).</w:t>
            </w:r>
          </w:p>
          <w:p w14:paraId="0D7BA97A" w14:textId="77777777" w:rsidR="00016CC1" w:rsidRPr="00016CC1" w:rsidRDefault="00016CC1" w:rsidP="00DD2DD5">
            <w:pPr>
              <w:jc w:val="both"/>
              <w:rPr>
                <w:rFonts w:ascii="Arial" w:hAnsi="Arial" w:cs="Arial"/>
                <w:sz w:val="22"/>
                <w:szCs w:val="22"/>
              </w:rPr>
            </w:pPr>
          </w:p>
          <w:p w14:paraId="5C216AD6"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EXCEPCIÓN IMPORTANTE: </w:t>
            </w:r>
            <w:r w:rsidRPr="00016CC1">
              <w:rPr>
                <w:rFonts w:ascii="Arial" w:hAnsi="Arial" w:cs="Arial"/>
                <w:sz w:val="22"/>
                <w:szCs w:val="22"/>
              </w:rPr>
              <w:t>No se requiere conciliación previa cuando: (1) el demandado sea una entidad pública, (2) se trate de proceso ejecutivo, (3) sea improcedente la conciliación según la ley, (4) el conflicto verse sobre derechos irrenunciables, o (5) se haya celebrado conciliación previa sobre el mismo asunto.</w:t>
            </w:r>
          </w:p>
        </w:tc>
      </w:tr>
    </w:tbl>
    <w:p w14:paraId="3D8F9665" w14:textId="77777777" w:rsidR="00016CC1" w:rsidRPr="00016CC1" w:rsidRDefault="00016CC1" w:rsidP="00016CC1">
      <w:pPr>
        <w:jc w:val="both"/>
        <w:rPr>
          <w:rFonts w:ascii="Arial" w:hAnsi="Arial" w:cs="Arial"/>
          <w:sz w:val="22"/>
          <w:szCs w:val="22"/>
        </w:rPr>
      </w:pPr>
    </w:p>
    <w:p w14:paraId="48897AC1"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6.5.3 Donde se Realiza la Conciliación Extrajudicial</w:t>
      </w:r>
    </w:p>
    <w:tbl>
      <w:tblPr>
        <w:tblW w:w="0" w:type="auto"/>
        <w:tblCellMar>
          <w:top w:w="15" w:type="dxa"/>
          <w:left w:w="15" w:type="dxa"/>
          <w:bottom w:w="15" w:type="dxa"/>
          <w:right w:w="15" w:type="dxa"/>
        </w:tblCellMar>
        <w:tblLook w:val="04A0" w:firstRow="1" w:lastRow="0" w:firstColumn="1" w:lastColumn="0" w:noHBand="0" w:noVBand="1"/>
      </w:tblPr>
      <w:tblGrid>
        <w:gridCol w:w="2757"/>
        <w:gridCol w:w="3871"/>
        <w:gridCol w:w="2200"/>
      </w:tblGrid>
      <w:tr w:rsidR="00016CC1" w:rsidRPr="00016CC1" w14:paraId="11C095D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D3724B0"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ENTIDAD CONCILIADORA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7876754"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093D0DE"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COSTO</w:t>
            </w:r>
          </w:p>
        </w:tc>
      </w:tr>
      <w:tr w:rsidR="00016CC1" w:rsidRPr="00016CC1" w14:paraId="6642456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4410DA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Centros de Conciliación autorizados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EB4BFFD"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Centros de universidades, cámaras de comercio, entidades gremiales. Ofrecen conciliadores capacitados.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736395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Variable según el centro. Algunos son gratuitos.</w:t>
            </w:r>
          </w:p>
        </w:tc>
      </w:tr>
      <w:tr w:rsidR="00016CC1" w:rsidRPr="00016CC1" w14:paraId="2F247CE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76E2E6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Notarios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8F6198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Los notarios pueden actuar como conciliadores en asuntos civiles y de familia.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43E252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Tarifas notariales reguladas.</w:t>
            </w:r>
          </w:p>
        </w:tc>
      </w:tr>
      <w:tr w:rsidR="00016CC1" w:rsidRPr="00016CC1" w14:paraId="4A1C3C2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5D93A3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lastRenderedPageBreak/>
              <w:t>Defensores del Pueblo y Personeros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99AE03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Para conflictos de menor cuantia y en zonas donde no hay centros de conciliación.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5996DF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Gratuito.</w:t>
            </w:r>
          </w:p>
        </w:tc>
      </w:tr>
      <w:tr w:rsidR="00016CC1" w:rsidRPr="00016CC1" w14:paraId="2E75A61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3B759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Centros de conciliación de la Cámara de Comercio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C1ACCC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Para conflictos mercantiles y civiles de alta cuantia. Alta especialización.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B2F3E4C"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Honorarios según cuantia.</w:t>
            </w:r>
          </w:p>
        </w:tc>
      </w:tr>
      <w:tr w:rsidR="00016CC1" w:rsidRPr="00016CC1" w14:paraId="39B53BE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271172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Funcionarios del Ministerio de Justicia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791C40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Para conflictos en los que interviene el Estado como parte.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E1A157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Gratuito.</w:t>
            </w:r>
          </w:p>
        </w:tc>
      </w:tr>
    </w:tbl>
    <w:p w14:paraId="78C730E7" w14:textId="77777777" w:rsidR="00016CC1" w:rsidRPr="00016CC1" w:rsidRDefault="00016CC1" w:rsidP="00016CC1">
      <w:pPr>
        <w:jc w:val="both"/>
        <w:rPr>
          <w:rFonts w:ascii="Arial" w:hAnsi="Arial" w:cs="Arial"/>
          <w:sz w:val="22"/>
          <w:szCs w:val="22"/>
        </w:rPr>
      </w:pPr>
    </w:p>
    <w:p w14:paraId="0CAC0C07"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6.5.4 El Trámite de la Conciliación Extrajudicial</w:t>
      </w:r>
    </w:p>
    <w:p w14:paraId="3F5610A1" w14:textId="77777777" w:rsidR="00016CC1" w:rsidRPr="00016CC1" w:rsidRDefault="00016CC1" w:rsidP="00016CC1">
      <w:pPr>
        <w:numPr>
          <w:ilvl w:val="0"/>
          <w:numId w:val="77"/>
        </w:numPr>
        <w:jc w:val="both"/>
        <w:rPr>
          <w:rFonts w:ascii="Arial" w:hAnsi="Arial" w:cs="Arial"/>
          <w:sz w:val="22"/>
          <w:szCs w:val="22"/>
        </w:rPr>
      </w:pPr>
      <w:r w:rsidRPr="00016CC1">
        <w:rPr>
          <w:rFonts w:ascii="Arial" w:hAnsi="Arial" w:cs="Arial"/>
          <w:sz w:val="22"/>
          <w:szCs w:val="22"/>
        </w:rPr>
        <w:t>La parte interesada (futuro demandante) presenta una SOLICITUD DE CONCILIACIÓN ante el centro de conciliación o el conciliador habilitado, indicando los hechos, las pretensiones y los datos del futuro demandado.</w:t>
      </w:r>
    </w:p>
    <w:p w14:paraId="63C8D125" w14:textId="77777777" w:rsidR="00016CC1" w:rsidRPr="00016CC1" w:rsidRDefault="00016CC1" w:rsidP="00016CC1">
      <w:pPr>
        <w:numPr>
          <w:ilvl w:val="0"/>
          <w:numId w:val="77"/>
        </w:numPr>
        <w:jc w:val="both"/>
        <w:rPr>
          <w:rFonts w:ascii="Arial" w:hAnsi="Arial" w:cs="Arial"/>
          <w:sz w:val="22"/>
          <w:szCs w:val="22"/>
        </w:rPr>
      </w:pPr>
      <w:r w:rsidRPr="00016CC1">
        <w:rPr>
          <w:rFonts w:ascii="Arial" w:hAnsi="Arial" w:cs="Arial"/>
          <w:sz w:val="22"/>
          <w:szCs w:val="22"/>
        </w:rPr>
        <w:t>El conciliador CITA a las partes a una audiencia de conciliación dentro del término legal (en asuntos civiles: 3 meses desde la presentación de la solicitud, Art. 20 Ley 640/01).</w:t>
      </w:r>
    </w:p>
    <w:p w14:paraId="2A0C5E6C" w14:textId="77777777" w:rsidR="00016CC1" w:rsidRPr="00016CC1" w:rsidRDefault="00016CC1" w:rsidP="00016CC1">
      <w:pPr>
        <w:numPr>
          <w:ilvl w:val="0"/>
          <w:numId w:val="77"/>
        </w:numPr>
        <w:jc w:val="both"/>
        <w:rPr>
          <w:rFonts w:ascii="Arial" w:hAnsi="Arial" w:cs="Arial"/>
          <w:sz w:val="22"/>
          <w:szCs w:val="22"/>
        </w:rPr>
      </w:pPr>
      <w:r w:rsidRPr="00016CC1">
        <w:rPr>
          <w:rFonts w:ascii="Arial" w:hAnsi="Arial" w:cs="Arial"/>
          <w:sz w:val="22"/>
          <w:szCs w:val="22"/>
        </w:rPr>
        <w:t>En la AUDIENCIA, el conciliador presenta el caso, facilita el dialogo entre las partes y propone fórmulas de arreglo.</w:t>
      </w:r>
    </w:p>
    <w:p w14:paraId="378F10E1" w14:textId="77777777" w:rsidR="00016CC1" w:rsidRPr="00016CC1" w:rsidRDefault="00016CC1" w:rsidP="00016CC1">
      <w:pPr>
        <w:numPr>
          <w:ilvl w:val="0"/>
          <w:numId w:val="77"/>
        </w:numPr>
        <w:jc w:val="both"/>
        <w:rPr>
          <w:rFonts w:ascii="Arial" w:hAnsi="Arial" w:cs="Arial"/>
          <w:sz w:val="22"/>
          <w:szCs w:val="22"/>
        </w:rPr>
      </w:pPr>
      <w:r w:rsidRPr="00016CC1">
        <w:rPr>
          <w:rFonts w:ascii="Arial" w:hAnsi="Arial" w:cs="Arial"/>
          <w:sz w:val="22"/>
          <w:szCs w:val="22"/>
        </w:rPr>
        <w:t>Si las partes LLEGAN A UN ACUERDO: se suscribe el acta de conciliación. El conciliador la aprueba si no viola la ley ni los derechos de terceros. El acta hace tránsito a cosa juzgada.</w:t>
      </w:r>
    </w:p>
    <w:p w14:paraId="068751B2" w14:textId="77777777" w:rsidR="00016CC1" w:rsidRPr="00016CC1" w:rsidRDefault="00016CC1" w:rsidP="00016CC1">
      <w:pPr>
        <w:numPr>
          <w:ilvl w:val="0"/>
          <w:numId w:val="77"/>
        </w:numPr>
        <w:jc w:val="both"/>
        <w:rPr>
          <w:rFonts w:ascii="Arial" w:hAnsi="Arial" w:cs="Arial"/>
          <w:sz w:val="22"/>
          <w:szCs w:val="22"/>
        </w:rPr>
      </w:pPr>
      <w:r w:rsidRPr="00016CC1">
        <w:rPr>
          <w:rFonts w:ascii="Arial" w:hAnsi="Arial" w:cs="Arial"/>
          <w:sz w:val="22"/>
          <w:szCs w:val="22"/>
        </w:rPr>
        <w:t>Si las partes NO llegan a acuerdo (conciliación fallida) o si el convocado NO COMPARECE: el conciliador expide la constancia de intento de conciliación fallido, que el demandante debe adjuntar a su demanda como requisito de procedibilidad.</w:t>
      </w:r>
    </w:p>
    <w:p w14:paraId="1055D7DC" w14:textId="77777777" w:rsidR="00016CC1" w:rsidRPr="00016CC1" w:rsidRDefault="00016CC1" w:rsidP="00016CC1">
      <w:pPr>
        <w:numPr>
          <w:ilvl w:val="0"/>
          <w:numId w:val="77"/>
        </w:numPr>
        <w:jc w:val="both"/>
        <w:rPr>
          <w:rFonts w:ascii="Arial" w:hAnsi="Arial" w:cs="Arial"/>
          <w:sz w:val="22"/>
          <w:szCs w:val="22"/>
        </w:rPr>
      </w:pPr>
      <w:r w:rsidRPr="00016CC1">
        <w:rPr>
          <w:rFonts w:ascii="Arial" w:hAnsi="Arial" w:cs="Arial"/>
          <w:sz w:val="22"/>
          <w:szCs w:val="22"/>
        </w:rPr>
        <w:t>Si el convocado no comparece SIN JUSTA CAUSA, el conciliador pone el hecho en conocimiento de la parte que se beneficia para que tome nota del comportamiento, y expide la constancia. La inasistencia injustificada puede generar consecuencias procesales.</w:t>
      </w:r>
    </w:p>
    <w:p w14:paraId="4846BD42" w14:textId="77777777" w:rsidR="00016CC1" w:rsidRPr="00016CC1" w:rsidRDefault="00016CC1" w:rsidP="00016CC1">
      <w:pPr>
        <w:jc w:val="both"/>
        <w:rPr>
          <w:rFonts w:ascii="Arial" w:hAnsi="Arial" w:cs="Arial"/>
          <w:sz w:val="22"/>
          <w:szCs w:val="22"/>
        </w:rPr>
      </w:pPr>
    </w:p>
    <w:p w14:paraId="5CD75881"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CAPSULA 6.6</w:t>
      </w:r>
    </w:p>
    <w:p w14:paraId="4C6B2A4C" w14:textId="77777777" w:rsidR="00016CC1" w:rsidRPr="00016CC1" w:rsidRDefault="00016CC1" w:rsidP="00016CC1">
      <w:pPr>
        <w:jc w:val="both"/>
        <w:rPr>
          <w:rFonts w:ascii="Arial" w:hAnsi="Arial" w:cs="Arial"/>
          <w:b/>
          <w:bCs/>
          <w:sz w:val="22"/>
          <w:szCs w:val="22"/>
        </w:rPr>
      </w:pPr>
      <w:r w:rsidRPr="00016CC1">
        <w:rPr>
          <w:rFonts w:ascii="Arial" w:hAnsi="Arial" w:cs="Arial"/>
          <w:b/>
          <w:bCs/>
          <w:sz w:val="22"/>
          <w:szCs w:val="22"/>
        </w:rPr>
        <w:t>EL ARBITRAJE NACIONAL: JUSTICIA PRIVADA CON EFECTOS PÚBLICOS</w:t>
      </w:r>
    </w:p>
    <w:p w14:paraId="464292DB" w14:textId="77777777" w:rsidR="00016CC1" w:rsidRPr="00016CC1" w:rsidRDefault="00016CC1" w:rsidP="00016CC1">
      <w:pPr>
        <w:jc w:val="both"/>
        <w:rPr>
          <w:rFonts w:ascii="Arial" w:hAnsi="Arial" w:cs="Arial"/>
          <w:sz w:val="22"/>
          <w:szCs w:val="22"/>
        </w:rPr>
      </w:pPr>
    </w:p>
    <w:p w14:paraId="0308AEF5"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6.6.1 Que es el Arbitraje?</w:t>
      </w:r>
    </w:p>
    <w:p w14:paraId="7F2CA6D8"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ARBITRAJE es el mecanismo de solución de controversias por el que las partes, de común acuerdo, RENUNCIAN a la jurisdicción ordinaria y le confían la decisión de su conflicto a uno o varios particulares (árbitros) a quienes habilitan para actuar como jueces de su caso. Los árbitros deciden mediante un LAUDO ARBITRAL que tiene los mismos efectos de una sentencia judicial.</w:t>
      </w:r>
    </w:p>
    <w:p w14:paraId="6F09B55D"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arbitraje en Colombia está regulado por la Ley 1563 de 2012 (Estatuto de Arbitraje Nacional e Internacional) y tiene fundamento constitucional en el artículo 116 de la Constitución Política: 'Los particulares pueden ser investidos transitoriamente de la función de administrar justicia... en la de árbitros habilitados por las partes para proferir fallos en derecho o en equidad.'</w:t>
      </w:r>
    </w:p>
    <w:p w14:paraId="627F9C28" w14:textId="77777777" w:rsidR="00016CC1" w:rsidRPr="00016CC1" w:rsidRDefault="00016CC1" w:rsidP="00016CC1">
      <w:pPr>
        <w:jc w:val="both"/>
        <w:rPr>
          <w:rFonts w:ascii="Arial" w:hAnsi="Arial" w:cs="Arial"/>
          <w:sz w:val="22"/>
          <w:szCs w:val="22"/>
        </w:rPr>
      </w:pPr>
    </w:p>
    <w:p w14:paraId="54968F9C" w14:textId="77777777" w:rsidR="00016CC1" w:rsidRPr="00016CC1" w:rsidRDefault="00016CC1" w:rsidP="00016CC1">
      <w:pPr>
        <w:jc w:val="both"/>
        <w:rPr>
          <w:rFonts w:ascii="Arial" w:hAnsi="Arial" w:cs="Arial"/>
          <w:b/>
          <w:bCs/>
          <w:sz w:val="22"/>
          <w:szCs w:val="22"/>
          <w:u w:val="single"/>
        </w:rPr>
      </w:pPr>
      <w:r w:rsidRPr="00016CC1">
        <w:rPr>
          <w:rFonts w:ascii="Arial" w:hAnsi="Arial" w:cs="Arial"/>
          <w:b/>
          <w:bCs/>
          <w:sz w:val="22"/>
          <w:szCs w:val="22"/>
          <w:u w:val="single"/>
        </w:rPr>
        <w:t>6.6.2 El Pacto Arbitral: La Llave del Arbitraje</w:t>
      </w:r>
    </w:p>
    <w:p w14:paraId="2F102EC9" w14:textId="77777777" w:rsidR="00016CC1" w:rsidRPr="00016CC1" w:rsidRDefault="00016CC1" w:rsidP="00016CC1">
      <w:pPr>
        <w:jc w:val="both"/>
        <w:rPr>
          <w:rFonts w:ascii="Arial" w:hAnsi="Arial" w:cs="Arial"/>
          <w:sz w:val="22"/>
          <w:szCs w:val="22"/>
        </w:rPr>
      </w:pPr>
    </w:p>
    <w:p w14:paraId="1ADFAA11"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lastRenderedPageBreak/>
        <w:t>Para que un conflicto pueda ser sometido al arbitraje, las partes deben haber suscrito previamente un PACTO ARBITRAL: el acuerdo por el que se obligan a llevar sus diferencias ante árbitros en lugar de ante los jueces ordinarios. Sin pacto arbitral valido, no hay arbitraje.</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7B542E5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118C07E0"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TIPOS DE PACTO ARBITRAL (Art. 3 Ley 1563/12)</w:t>
            </w:r>
          </w:p>
          <w:p w14:paraId="4416CA9B"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CLAUSULA COMPROMISORIA: </w:t>
            </w:r>
            <w:r w:rsidRPr="00016CC1">
              <w:rPr>
                <w:rFonts w:ascii="Arial" w:hAnsi="Arial" w:cs="Arial"/>
                <w:sz w:val="22"/>
                <w:szCs w:val="22"/>
              </w:rPr>
              <w:t>Es la forma más común y práctica. Se incluye directamente en el contrato que las partes suscriben, como una cláusula más. Dice, por ejemplo: 'Todas las diferencias que surjan en relacion con el presente contrato serán resueltas por un tribunal de arbitramento...' Al firmar el contrato, las partes ya acuerdan de antemano que cualquier futuro conflicto ira al arbitraje.</w:t>
            </w:r>
          </w:p>
          <w:p w14:paraId="396778EC" w14:textId="77777777" w:rsidR="00016CC1" w:rsidRPr="00016CC1" w:rsidRDefault="00016CC1" w:rsidP="00DD2DD5">
            <w:pPr>
              <w:jc w:val="both"/>
              <w:rPr>
                <w:rFonts w:ascii="Arial" w:hAnsi="Arial" w:cs="Arial"/>
                <w:sz w:val="22"/>
                <w:szCs w:val="22"/>
              </w:rPr>
            </w:pPr>
          </w:p>
          <w:p w14:paraId="5196BCB1"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 xml:space="preserve">COMPROMISO: </w:t>
            </w:r>
            <w:r w:rsidRPr="00016CC1">
              <w:rPr>
                <w:rFonts w:ascii="Arial" w:hAnsi="Arial" w:cs="Arial"/>
                <w:sz w:val="22"/>
                <w:szCs w:val="22"/>
              </w:rPr>
              <w:t>Es el pacto arbitral que las partes suscriben DESPUES de que ya surgió el conflicto. Cuando ya hay una disputa concreta, las partes acuerdan por separado llevarla al arbitraje en lugar de a los tribunales. Menos común porque requiere que las partes cooperen cuando ya estan en conflicto.</w:t>
            </w:r>
          </w:p>
          <w:p w14:paraId="1ED1ACAB" w14:textId="77777777" w:rsidR="00016CC1" w:rsidRPr="00016CC1" w:rsidRDefault="00016CC1" w:rsidP="00DD2DD5">
            <w:pPr>
              <w:jc w:val="both"/>
              <w:rPr>
                <w:rFonts w:ascii="Arial" w:hAnsi="Arial" w:cs="Arial"/>
                <w:sz w:val="22"/>
                <w:szCs w:val="22"/>
              </w:rPr>
            </w:pPr>
          </w:p>
          <w:p w14:paraId="6CD9D1D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REQUISITOS DEL PACTO ARBITRAL: debe constar por escrito (puede ser en el contrato principal, en un documento separado, o por correo electrónico/mensaje de datos que demuestre el acuerdo). Debe identificar el asunto arbitrable. Puede designar el centro de arbitraje o las reglas aplicables.</w:t>
            </w:r>
          </w:p>
        </w:tc>
      </w:tr>
    </w:tbl>
    <w:p w14:paraId="6783E9B8" w14:textId="77777777" w:rsidR="00016CC1" w:rsidRPr="00016CC1" w:rsidRDefault="00016CC1" w:rsidP="00016CC1">
      <w:pPr>
        <w:jc w:val="both"/>
        <w:rPr>
          <w:rFonts w:ascii="Arial" w:hAnsi="Arial" w:cs="Arial"/>
          <w:sz w:val="22"/>
          <w:szCs w:val="22"/>
        </w:rPr>
      </w:pPr>
    </w:p>
    <w:p w14:paraId="4AAA37BF" w14:textId="77777777" w:rsidR="00016CC1" w:rsidRPr="00016CC1" w:rsidRDefault="00016CC1" w:rsidP="00016CC1">
      <w:pPr>
        <w:jc w:val="both"/>
        <w:rPr>
          <w:rFonts w:ascii="Arial" w:hAnsi="Arial" w:cs="Arial"/>
          <w:b/>
          <w:bCs/>
          <w:sz w:val="22"/>
          <w:szCs w:val="22"/>
          <w:u w:val="single"/>
        </w:rPr>
      </w:pPr>
      <w:r w:rsidRPr="00016CC1">
        <w:rPr>
          <w:rFonts w:ascii="Arial" w:hAnsi="Arial" w:cs="Arial"/>
          <w:b/>
          <w:bCs/>
          <w:sz w:val="22"/>
          <w:szCs w:val="22"/>
          <w:u w:val="single"/>
        </w:rPr>
        <w:t>6.6.3 Los Árbitros: Quienes son y Como se Designan</w:t>
      </w:r>
    </w:p>
    <w:p w14:paraId="7F29768C" w14:textId="77777777" w:rsidR="00016CC1" w:rsidRPr="00016CC1" w:rsidRDefault="00016CC1" w:rsidP="00016CC1">
      <w:pPr>
        <w:jc w:val="both"/>
        <w:rPr>
          <w:rFonts w:ascii="Arial" w:hAnsi="Arial" w:cs="Arial"/>
          <w:sz w:val="22"/>
          <w:szCs w:val="22"/>
        </w:rPr>
      </w:pPr>
    </w:p>
    <w:p w14:paraId="74B5C2BB"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Los ÁRBITROS son los jueces privados que deciden el conflicto. La Ley 1563 de 2012 establece que pueden ser árbitros los ciudadanos colombianos mayores de edad, en pleno ejercicio de sus derechos civiles, que no estén inhabilitados para ejercer cargos públicos.</w:t>
      </w:r>
    </w:p>
    <w:tbl>
      <w:tblPr>
        <w:tblW w:w="0" w:type="auto"/>
        <w:tblCellMar>
          <w:top w:w="15" w:type="dxa"/>
          <w:left w:w="15" w:type="dxa"/>
          <w:bottom w:w="15" w:type="dxa"/>
          <w:right w:w="15" w:type="dxa"/>
        </w:tblCellMar>
        <w:tblLook w:val="04A0" w:firstRow="1" w:lastRow="0" w:firstColumn="1" w:lastColumn="0" w:noHBand="0" w:noVBand="1"/>
      </w:tblPr>
      <w:tblGrid>
        <w:gridCol w:w="2042"/>
        <w:gridCol w:w="5407"/>
        <w:gridCol w:w="1379"/>
      </w:tblGrid>
      <w:tr w:rsidR="00016CC1" w:rsidRPr="00016CC1" w14:paraId="777ADAC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BFC7318"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ASPECTO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ED866F7"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EF2E652"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NORMA</w:t>
            </w:r>
          </w:p>
        </w:tc>
      </w:tr>
      <w:tr w:rsidR="00016CC1" w:rsidRPr="00016CC1" w14:paraId="4ACB619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F27582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Numero de árbitros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36DF75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Las partes pueden pactar 1 (arbitro único) o 3 árbitros. Si no pactan, el tribunal será de 3 árbitros.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CB65AF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7 Ley 1563/12</w:t>
            </w:r>
          </w:p>
        </w:tc>
      </w:tr>
      <w:tr w:rsidR="00016CC1" w:rsidRPr="00016CC1" w14:paraId="125DC1B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76C6EE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Designación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5E71D2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Las partes designan directamente a los árbitros, o los designa el centro de arbitraje según sus listas. Si no se ponen de acuerdo, el juez civil designa.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E55886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8 Ley 1563/12</w:t>
            </w:r>
          </w:p>
        </w:tc>
      </w:tr>
      <w:tr w:rsidR="00016CC1" w:rsidRPr="00016CC1" w14:paraId="6B92FCE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1DD401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Fallo en derecho o en equidad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FF10F3F"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EN DERECHO: los árbitros aplican las normas jurídicas vigentes (lo normal). EN EQUIDAD: deciden según lo que es justo, sin sujetarse estrictamente a la ley. Las partes eligen.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DE2A9A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1 Ley 1563/12</w:t>
            </w:r>
          </w:p>
        </w:tc>
      </w:tr>
      <w:tr w:rsidR="00016CC1" w:rsidRPr="00016CC1" w14:paraId="2D3E9CA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0FCFB3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Impedimentos y recusaciones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43E49F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Los árbitros pueden ser recusados por las mismas causales que los jueces (Art. 141 CGP aplicado análogamente).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4A8728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14 Ley 1563/12</w:t>
            </w:r>
          </w:p>
        </w:tc>
      </w:tr>
      <w:tr w:rsidR="00016CC1" w:rsidRPr="00016CC1" w14:paraId="560307F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60CE46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Plazo para laudar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A2F13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6 meses contados desde la primera audiencia de trámite, prorrogables por 6 meses más por acuerdo de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10C0AB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Art. 10 Ley 1563/12</w:t>
            </w:r>
          </w:p>
        </w:tc>
      </w:tr>
    </w:tbl>
    <w:p w14:paraId="4D5626A9" w14:textId="77777777" w:rsidR="00016CC1" w:rsidRPr="00016CC1" w:rsidRDefault="00016CC1" w:rsidP="00016CC1">
      <w:pPr>
        <w:jc w:val="both"/>
        <w:rPr>
          <w:rFonts w:ascii="Arial" w:hAnsi="Arial" w:cs="Arial"/>
          <w:sz w:val="22"/>
          <w:szCs w:val="22"/>
        </w:rPr>
      </w:pPr>
    </w:p>
    <w:p w14:paraId="7D16129C"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6.6.4 El Laudo Arbitral vs. La Sentencia Judicial</w:t>
      </w:r>
    </w:p>
    <w:p w14:paraId="52D4D61E" w14:textId="77777777" w:rsidR="00016CC1" w:rsidRPr="00016CC1" w:rsidRDefault="00016CC1" w:rsidP="00016CC1">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16CC1" w:rsidRPr="00016CC1" w14:paraId="128A1BF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4A272905"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lastRenderedPageBreak/>
              <w:t>LAUDO ARBITRAL vs. SENTENCIA JUDICIAL: CUADRO COMPARATIVO</w:t>
            </w:r>
          </w:p>
          <w:tbl>
            <w:tblPr>
              <w:tblW w:w="0" w:type="auto"/>
              <w:tblCellMar>
                <w:top w:w="15" w:type="dxa"/>
                <w:left w:w="15" w:type="dxa"/>
                <w:bottom w:w="15" w:type="dxa"/>
                <w:right w:w="15" w:type="dxa"/>
              </w:tblCellMar>
              <w:tblLook w:val="04A0" w:firstRow="1" w:lastRow="0" w:firstColumn="1" w:lastColumn="0" w:noHBand="0" w:noVBand="1"/>
            </w:tblPr>
            <w:tblGrid>
              <w:gridCol w:w="2118"/>
              <w:gridCol w:w="3412"/>
              <w:gridCol w:w="2888"/>
            </w:tblGrid>
            <w:tr w:rsidR="00016CC1" w:rsidRPr="00016CC1" w14:paraId="23D1300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B5D82C6"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CRITERIO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D6EDD97"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LAUDO ARBITRAL</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137C6C5"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SENTENCIA JUDICIAL</w:t>
                  </w:r>
                </w:p>
              </w:tc>
            </w:tr>
            <w:tr w:rsidR="00016CC1" w:rsidRPr="00016CC1" w14:paraId="0F0F8FF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B2C932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Quien lo profiere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815F663"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Árbitros (particulares habilitados por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D9A2F2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Juez (funcionario del Estado)</w:t>
                  </w:r>
                </w:p>
              </w:tc>
            </w:tr>
            <w:tr w:rsidR="00016CC1" w:rsidRPr="00016CC1" w14:paraId="40E4521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3128AF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Fundamento de su obligatoriedad</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969DAD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Voluntad de las partes (pacto arbitral) + habilitación constitucional (Art. 116 C.P.)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CFDD51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Poder soberano del Estado (Art. 228 C.P.)</w:t>
                  </w:r>
                </w:p>
              </w:tc>
            </w:tr>
            <w:tr w:rsidR="00016CC1" w:rsidRPr="00016CC1" w14:paraId="0FF5D1D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22DC61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Efectos jurídicos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1157817"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Mismos efectos que sentencia judicial: cosa juzgada y merito ejecutivo.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FACB70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Cosa juzgada y merito ejecutivo.</w:t>
                  </w:r>
                </w:p>
              </w:tc>
            </w:tr>
            <w:tr w:rsidR="00016CC1" w:rsidRPr="00016CC1" w14:paraId="755FDDC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47F419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Recursos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103127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Recurso de ANULACIÓN ante el Tribunal Superior (causales taxativas). NO hay apelación.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DE7EC4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Apelación ante el superior. Casación ante la CSJ.</w:t>
                  </w:r>
                </w:p>
              </w:tc>
            </w:tr>
            <w:tr w:rsidR="00016CC1" w:rsidRPr="00016CC1" w14:paraId="0F89F8C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9CBB7B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Ejecución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752D52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Se ejecuta como sentencia judicial: proceso ejecutivo ante juez civil.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FC7D02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Se ejecuta como sentencia judicial.</w:t>
                  </w:r>
                </w:p>
              </w:tc>
            </w:tr>
            <w:tr w:rsidR="00016CC1" w:rsidRPr="00016CC1" w14:paraId="2095E55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B18FCF9"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Publicidad</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8ADB5C5"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Generalmente confidencial. Las partes pueden acordar la publicidad.</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B23343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Publica. Las audiencias son abiertas al público.</w:t>
                  </w:r>
                </w:p>
              </w:tc>
            </w:tr>
            <w:tr w:rsidR="00016CC1" w:rsidRPr="00016CC1" w14:paraId="50D2549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18AF9AB"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Costo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B98D32A"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Los honorarios de los árbitros y del centro de arbitraje los pagan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0E9B50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Estado asume el costo del juez. Las partes pagan costas procesales.</w:t>
                  </w:r>
                </w:p>
              </w:tc>
            </w:tr>
            <w:tr w:rsidR="00016CC1" w:rsidRPr="00016CC1" w14:paraId="153E656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003DB54"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Tiempo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F02016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Máximo 12 meses (6 + 6 de prorroga). Mas rapido que el proceso civil en alta cuantia.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AFBB43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Variable: puede durar varios años.</w:t>
                  </w:r>
                </w:p>
              </w:tc>
            </w:tr>
          </w:tbl>
          <w:p w14:paraId="15C3C5DB" w14:textId="77777777" w:rsidR="00016CC1" w:rsidRPr="00016CC1" w:rsidRDefault="00016CC1" w:rsidP="00DD2DD5">
            <w:pPr>
              <w:jc w:val="both"/>
              <w:rPr>
                <w:rFonts w:ascii="Arial" w:hAnsi="Arial" w:cs="Arial"/>
                <w:sz w:val="22"/>
                <w:szCs w:val="22"/>
              </w:rPr>
            </w:pPr>
          </w:p>
        </w:tc>
      </w:tr>
    </w:tbl>
    <w:p w14:paraId="575F3EB9" w14:textId="77777777" w:rsidR="00016CC1" w:rsidRPr="00016CC1" w:rsidRDefault="00016CC1" w:rsidP="00016CC1">
      <w:pPr>
        <w:jc w:val="both"/>
        <w:rPr>
          <w:rFonts w:ascii="Arial" w:hAnsi="Arial" w:cs="Arial"/>
          <w:sz w:val="22"/>
          <w:szCs w:val="22"/>
        </w:rPr>
      </w:pPr>
    </w:p>
    <w:p w14:paraId="7BF62C4D" w14:textId="77777777" w:rsidR="00016CC1" w:rsidRPr="00016CC1" w:rsidRDefault="00016CC1" w:rsidP="00016CC1">
      <w:pPr>
        <w:jc w:val="both"/>
        <w:rPr>
          <w:rFonts w:ascii="Arial" w:hAnsi="Arial" w:cs="Arial"/>
          <w:sz w:val="22"/>
          <w:szCs w:val="22"/>
        </w:rPr>
      </w:pPr>
      <w:r w:rsidRPr="00016CC1">
        <w:rPr>
          <w:rFonts w:ascii="Arial" w:hAnsi="Arial" w:cs="Arial"/>
          <w:b/>
          <w:bCs/>
          <w:sz w:val="22"/>
          <w:szCs w:val="22"/>
          <w:u w:val="single"/>
        </w:rPr>
        <w:t>6.6.5 El Recurso de Anulación del Laudo (Arts. 41-43 Ley 1563/12)</w:t>
      </w:r>
    </w:p>
    <w:p w14:paraId="2E0E71CC"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laudo arbitral NO puede apelarse (no existe segunda instancia en el arbitraje). La única forma de impugnar un laudo es el RECURSO DE ANULACIÓN ante el Tribunal Superior de Distrito Judicial del lugar donde tuvo sede el tribunal de arbitramento.</w:t>
      </w:r>
    </w:p>
    <w:p w14:paraId="7B306145" w14:textId="77777777" w:rsidR="00016CC1" w:rsidRPr="00016CC1" w:rsidRDefault="00016CC1" w:rsidP="00016CC1">
      <w:pPr>
        <w:jc w:val="both"/>
        <w:rPr>
          <w:rFonts w:ascii="Arial" w:hAnsi="Arial" w:cs="Arial"/>
          <w:sz w:val="22"/>
          <w:szCs w:val="22"/>
        </w:rPr>
      </w:pPr>
      <w:r w:rsidRPr="00016CC1">
        <w:rPr>
          <w:rFonts w:ascii="Arial" w:hAnsi="Arial" w:cs="Arial"/>
          <w:sz w:val="22"/>
          <w:szCs w:val="22"/>
        </w:rPr>
        <w:t>El recurso de anulación es extraordinario y sus causales son TAXATIVAS: no se puede pedir la anulación porque el laudo es injusto o porque los árbitros se equivocaron en el fondo. Solo puede anularse por vicios procesales graves:</w:t>
      </w:r>
    </w:p>
    <w:p w14:paraId="0A107CD2" w14:textId="77777777" w:rsidR="00016CC1" w:rsidRPr="00016CC1" w:rsidRDefault="00016CC1" w:rsidP="00016CC1">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3790"/>
        <w:gridCol w:w="5038"/>
      </w:tblGrid>
      <w:tr w:rsidR="00016CC1" w:rsidRPr="00016CC1" w14:paraId="4173CD4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591355E"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CAUSAL DE ANULACIÓN (Art. 41 Ley 1563/12)</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EB93004" w14:textId="77777777" w:rsidR="00016CC1" w:rsidRPr="00016CC1" w:rsidRDefault="00016CC1" w:rsidP="00DD2DD5">
            <w:pPr>
              <w:jc w:val="both"/>
              <w:rPr>
                <w:rFonts w:ascii="Arial" w:hAnsi="Arial" w:cs="Arial"/>
                <w:sz w:val="22"/>
                <w:szCs w:val="22"/>
              </w:rPr>
            </w:pPr>
            <w:r w:rsidRPr="00016CC1">
              <w:rPr>
                <w:rFonts w:ascii="Arial" w:hAnsi="Arial" w:cs="Arial"/>
                <w:b/>
                <w:bCs/>
                <w:sz w:val="22"/>
                <w:szCs w:val="22"/>
              </w:rPr>
              <w:t>DESCRIPCIÓN</w:t>
            </w:r>
          </w:p>
        </w:tc>
      </w:tr>
      <w:tr w:rsidR="00016CC1" w:rsidRPr="00016CC1" w14:paraId="3830287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2966BF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1. Inexistencia, invalidez o inoponibilidad del pacto arbitral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FB7C5E8"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acuerdo de arbitraje no existía, era nulo o no era aplicable al conflicto decidido.</w:t>
            </w:r>
          </w:p>
        </w:tc>
      </w:tr>
      <w:tr w:rsidR="00016CC1" w:rsidRPr="00016CC1" w14:paraId="38F37D2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A8CB57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lastRenderedPageBreak/>
              <w:t>2. Falta de debida notificación o imposibilidad de hacer valer los derechos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3199EF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Se violaron las garantías del debido proceso de una de las partes.</w:t>
            </w:r>
          </w:p>
        </w:tc>
      </w:tr>
      <w:tr w:rsidR="00016CC1" w:rsidRPr="00016CC1" w14:paraId="21FB6E9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015603D"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3. Laudo sobre materias no sometidas al arbitraje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F19F5E6"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Los árbitros decidieron sobre asuntos que las partes no les habían encargado.</w:t>
            </w:r>
          </w:p>
        </w:tc>
      </w:tr>
      <w:tr w:rsidR="00016CC1" w:rsidRPr="00016CC1" w14:paraId="440FF5B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5CD8DD0"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4. Constitución irregular del tribunal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9C635E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El numero o la designación de los árbitros no siguió lo pactado o lo legal.</w:t>
            </w:r>
          </w:p>
        </w:tc>
      </w:tr>
      <w:tr w:rsidR="00016CC1" w:rsidRPr="00016CC1" w14:paraId="77F00AF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351D92D"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5. Laudo sobre asuntos no arbitrables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6056491"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Se decidieron materias que la ley prohíbe someter al arbitraje (derechos irrenunciables, estado civil, etc.).</w:t>
            </w:r>
          </w:p>
        </w:tc>
      </w:tr>
      <w:tr w:rsidR="00016CC1" w:rsidRPr="00016CC1" w14:paraId="5D75C33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EE22622"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6. Laudo contrario al orden publico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4DDD65E" w14:textId="77777777" w:rsidR="00016CC1" w:rsidRPr="00016CC1" w:rsidRDefault="00016CC1" w:rsidP="00DD2DD5">
            <w:pPr>
              <w:jc w:val="both"/>
              <w:rPr>
                <w:rFonts w:ascii="Arial" w:hAnsi="Arial" w:cs="Arial"/>
                <w:sz w:val="22"/>
                <w:szCs w:val="22"/>
              </w:rPr>
            </w:pPr>
            <w:r w:rsidRPr="00016CC1">
              <w:rPr>
                <w:rFonts w:ascii="Arial" w:hAnsi="Arial" w:cs="Arial"/>
                <w:sz w:val="22"/>
                <w:szCs w:val="22"/>
              </w:rPr>
              <w:t>La decisión viola principios fundamentales del ordenamiento colombiano.</w:t>
            </w:r>
          </w:p>
        </w:tc>
      </w:tr>
    </w:tbl>
    <w:p w14:paraId="09CE0FFD" w14:textId="77777777" w:rsidR="00016CC1" w:rsidRPr="00016CC1" w:rsidRDefault="00016CC1" w:rsidP="00016CC1">
      <w:pPr>
        <w:jc w:val="both"/>
        <w:rPr>
          <w:rFonts w:ascii="Arial" w:hAnsi="Arial" w:cs="Arial"/>
          <w:sz w:val="22"/>
          <w:szCs w:val="22"/>
        </w:rPr>
      </w:pPr>
    </w:p>
    <w:p w14:paraId="41480094" w14:textId="77777777" w:rsidR="00016CC1" w:rsidRPr="00016CC1" w:rsidRDefault="00016CC1" w:rsidP="00016CC1">
      <w:pPr>
        <w:jc w:val="both"/>
        <w:rPr>
          <w:rFonts w:ascii="Arial" w:hAnsi="Arial" w:cs="Arial"/>
          <w:sz w:val="22"/>
          <w:szCs w:val="22"/>
        </w:rPr>
      </w:pPr>
    </w:p>
    <w:p w14:paraId="6469321E" w14:textId="77777777" w:rsidR="00012688" w:rsidRPr="00016CC1" w:rsidRDefault="00012688" w:rsidP="00016CC1">
      <w:pPr>
        <w:rPr>
          <w:rFonts w:ascii="Arial" w:hAnsi="Arial" w:cs="Arial"/>
        </w:rPr>
      </w:pPr>
    </w:p>
    <w:sectPr w:rsidR="00012688" w:rsidRPr="00016CC1">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B42B63" w14:textId="77777777" w:rsidR="007F6132" w:rsidRDefault="007F6132">
      <w:r>
        <w:separator/>
      </w:r>
    </w:p>
  </w:endnote>
  <w:endnote w:type="continuationSeparator" w:id="0">
    <w:p w14:paraId="64EDC316" w14:textId="77777777" w:rsidR="007F6132" w:rsidRDefault="007F6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07279D61-091B-4A1A-9487-CF8BEF1592A5}"/>
    <w:embedBold r:id="rId2" w:fontKey="{2DC6DB5C-4C37-483B-9E9F-13ADAE67AF57}"/>
    <w:embedItalic r:id="rId3" w:fontKey="{BAA4AEC6-D619-4862-8592-A4C383C77659}"/>
    <w:embedBoldItalic r:id="rId4" w:fontKey="{5FFF7C7D-2D10-4BCB-B6EB-E5A0E61D7042}"/>
  </w:font>
  <w:font w:name="Cambria">
    <w:panose1 w:val="02040503050406030204"/>
    <w:charset w:val="00"/>
    <w:family w:val="roman"/>
    <w:pitch w:val="variable"/>
    <w:sig w:usb0="E00006FF" w:usb1="420024FF" w:usb2="02000000" w:usb3="00000000" w:csb0="0000019F" w:csb1="00000000"/>
    <w:embedRegular r:id="rId5" w:fontKey="{C1A4E748-AA3D-487F-B1A5-B41F4F68B536}"/>
    <w:embedItalic r:id="rId6" w:fontKey="{65637154-1B7A-4734-B7A8-CE539D3DA290}"/>
  </w:font>
  <w:font w:name="Georgia">
    <w:panose1 w:val="02040502050405020303"/>
    <w:charset w:val="00"/>
    <w:family w:val="roman"/>
    <w:pitch w:val="variable"/>
    <w:sig w:usb0="00000287" w:usb1="00000000" w:usb2="00000000" w:usb3="00000000" w:csb0="0000009F" w:csb1="00000000"/>
    <w:embedItalic r:id="rId7" w:fontKey="{B44BF963-8B0F-4F06-883A-683241C5D0BF}"/>
  </w:font>
  <w:font w:name="Arial">
    <w:panose1 w:val="020B0604020202020204"/>
    <w:charset w:val="00"/>
    <w:family w:val="swiss"/>
    <w:pitch w:val="variable"/>
    <w:sig w:usb0="E0002EFF" w:usb1="C000785B" w:usb2="00000009" w:usb3="00000000" w:csb0="000001FF" w:csb1="00000000"/>
  </w:font>
  <w:font w:name="Poppins ExtraLight">
    <w:charset w:val="00"/>
    <w:family w:val="auto"/>
    <w:pitch w:val="variable"/>
    <w:sig w:usb0="00008007" w:usb1="00000000" w:usb2="00000000" w:usb3="00000000" w:csb0="00000093" w:csb1="00000000"/>
    <w:embedRegular r:id="rId8" w:fontKey="{EF841FC7-9678-4BC6-B0D4-19B46404A2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60658" w14:textId="77777777" w:rsidR="00012688"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32933D76" wp14:editId="55A9953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 n e o u p r o . c o m</w:t>
    </w:r>
    <w:r>
      <w:rPr>
        <w:noProof/>
      </w:rPr>
      <mc:AlternateContent>
        <mc:Choice Requires="wpg">
          <w:drawing>
            <wp:anchor distT="0" distB="0" distL="114300" distR="114300" simplePos="0" relativeHeight="251658240" behindDoc="0" locked="0" layoutInCell="1" hidden="0" allowOverlap="1" wp14:anchorId="65CEEF91" wp14:editId="4EC98689">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DF473" w14:textId="77777777" w:rsidR="007F6132" w:rsidRDefault="007F6132">
      <w:r>
        <w:separator/>
      </w:r>
    </w:p>
  </w:footnote>
  <w:footnote w:type="continuationSeparator" w:id="0">
    <w:p w14:paraId="26ABBB34" w14:textId="77777777" w:rsidR="007F6132" w:rsidRDefault="007F61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446DB" w14:textId="77777777" w:rsidR="00012688"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D7A1ED4" wp14:editId="50FDA2E6">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2D5F43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3"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AA869FB" wp14:editId="69F68D2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61148"/>
    <w:multiLevelType w:val="multilevel"/>
    <w:tmpl w:val="43D0F7A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BD694D"/>
    <w:multiLevelType w:val="multilevel"/>
    <w:tmpl w:val="03648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D7465E"/>
    <w:multiLevelType w:val="multilevel"/>
    <w:tmpl w:val="B49A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62728B"/>
    <w:multiLevelType w:val="multilevel"/>
    <w:tmpl w:val="F8662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9833F3"/>
    <w:multiLevelType w:val="multilevel"/>
    <w:tmpl w:val="459A959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0F2AD9"/>
    <w:multiLevelType w:val="multilevel"/>
    <w:tmpl w:val="E5B6257A"/>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DF4133"/>
    <w:multiLevelType w:val="multilevel"/>
    <w:tmpl w:val="01D82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4C2900"/>
    <w:multiLevelType w:val="multilevel"/>
    <w:tmpl w:val="443E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165625"/>
    <w:multiLevelType w:val="multilevel"/>
    <w:tmpl w:val="FD0A19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7276857"/>
    <w:multiLevelType w:val="multilevel"/>
    <w:tmpl w:val="1FDA3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FA048F"/>
    <w:multiLevelType w:val="multilevel"/>
    <w:tmpl w:val="380C8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3B4717"/>
    <w:multiLevelType w:val="multilevel"/>
    <w:tmpl w:val="E73EE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A1853C9"/>
    <w:multiLevelType w:val="multilevel"/>
    <w:tmpl w:val="40324E96"/>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B3C1286"/>
    <w:multiLevelType w:val="multilevel"/>
    <w:tmpl w:val="BC92AD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FC32339"/>
    <w:multiLevelType w:val="multilevel"/>
    <w:tmpl w:val="18B68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C632F8"/>
    <w:multiLevelType w:val="multilevel"/>
    <w:tmpl w:val="3A46E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E429F8"/>
    <w:multiLevelType w:val="multilevel"/>
    <w:tmpl w:val="B0C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BC7A5D"/>
    <w:multiLevelType w:val="multilevel"/>
    <w:tmpl w:val="0F2A2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5A6CE1"/>
    <w:multiLevelType w:val="multilevel"/>
    <w:tmpl w:val="7B40D6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4F5796E"/>
    <w:multiLevelType w:val="multilevel"/>
    <w:tmpl w:val="A5C891D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7161F56"/>
    <w:multiLevelType w:val="multilevel"/>
    <w:tmpl w:val="AE2EB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7837BD9"/>
    <w:multiLevelType w:val="multilevel"/>
    <w:tmpl w:val="F2707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81B59A0"/>
    <w:multiLevelType w:val="multilevel"/>
    <w:tmpl w:val="0DA85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AF0078"/>
    <w:multiLevelType w:val="multilevel"/>
    <w:tmpl w:val="55AE6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9563D"/>
    <w:multiLevelType w:val="multilevel"/>
    <w:tmpl w:val="67EEA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2A2043"/>
    <w:multiLevelType w:val="multilevel"/>
    <w:tmpl w:val="AFCA5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B8265C1"/>
    <w:multiLevelType w:val="multilevel"/>
    <w:tmpl w:val="C08A2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0416688"/>
    <w:multiLevelType w:val="multilevel"/>
    <w:tmpl w:val="9AF0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30A4613"/>
    <w:multiLevelType w:val="multilevel"/>
    <w:tmpl w:val="0B4496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33C4485"/>
    <w:multiLevelType w:val="multilevel"/>
    <w:tmpl w:val="ECE83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5BE7FF8"/>
    <w:multiLevelType w:val="multilevel"/>
    <w:tmpl w:val="2B54B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845653D"/>
    <w:multiLevelType w:val="multilevel"/>
    <w:tmpl w:val="53123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0EA205C"/>
    <w:multiLevelType w:val="multilevel"/>
    <w:tmpl w:val="5AF25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1EC423E"/>
    <w:multiLevelType w:val="multilevel"/>
    <w:tmpl w:val="1876A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23E0863"/>
    <w:multiLevelType w:val="multilevel"/>
    <w:tmpl w:val="BAC46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2EB771B"/>
    <w:multiLevelType w:val="multilevel"/>
    <w:tmpl w:val="35EC0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6183D50"/>
    <w:multiLevelType w:val="multilevel"/>
    <w:tmpl w:val="C1F0CBAC"/>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BC676B"/>
    <w:multiLevelType w:val="multilevel"/>
    <w:tmpl w:val="607A9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7DB5299"/>
    <w:multiLevelType w:val="multilevel"/>
    <w:tmpl w:val="E028F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9D835E7"/>
    <w:multiLevelType w:val="multilevel"/>
    <w:tmpl w:val="4CBADE1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A5729A9"/>
    <w:multiLevelType w:val="multilevel"/>
    <w:tmpl w:val="E6F2906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D200DBA"/>
    <w:multiLevelType w:val="multilevel"/>
    <w:tmpl w:val="9B2EC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D6A1DCD"/>
    <w:multiLevelType w:val="multilevel"/>
    <w:tmpl w:val="D24A0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D725EE4"/>
    <w:multiLevelType w:val="multilevel"/>
    <w:tmpl w:val="1422C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F176EC5"/>
    <w:multiLevelType w:val="multilevel"/>
    <w:tmpl w:val="865C0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F193274"/>
    <w:multiLevelType w:val="multilevel"/>
    <w:tmpl w:val="946A46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4ED5E84"/>
    <w:multiLevelType w:val="multilevel"/>
    <w:tmpl w:val="93E2BF6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614074B"/>
    <w:multiLevelType w:val="multilevel"/>
    <w:tmpl w:val="FC18D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AC02FFF"/>
    <w:multiLevelType w:val="multilevel"/>
    <w:tmpl w:val="F9F4A98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1704E54"/>
    <w:multiLevelType w:val="multilevel"/>
    <w:tmpl w:val="46F48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2F236B4"/>
    <w:multiLevelType w:val="multilevel"/>
    <w:tmpl w:val="8612E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4D20F4A"/>
    <w:multiLevelType w:val="multilevel"/>
    <w:tmpl w:val="5FB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5B50DD1"/>
    <w:multiLevelType w:val="multilevel"/>
    <w:tmpl w:val="954CEAE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5E13AE3"/>
    <w:multiLevelType w:val="multilevel"/>
    <w:tmpl w:val="B9A2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90A6434"/>
    <w:multiLevelType w:val="multilevel"/>
    <w:tmpl w:val="C3984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94419CD"/>
    <w:multiLevelType w:val="multilevel"/>
    <w:tmpl w:val="2D36CF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9C32EA8"/>
    <w:multiLevelType w:val="multilevel"/>
    <w:tmpl w:val="549A2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BDA56E9"/>
    <w:multiLevelType w:val="multilevel"/>
    <w:tmpl w:val="0186E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D1769E7"/>
    <w:multiLevelType w:val="multilevel"/>
    <w:tmpl w:val="0316A5B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D4D694F"/>
    <w:multiLevelType w:val="multilevel"/>
    <w:tmpl w:val="8F74E3E2"/>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E9D5F69"/>
    <w:multiLevelType w:val="multilevel"/>
    <w:tmpl w:val="0A048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FC237AD"/>
    <w:multiLevelType w:val="multilevel"/>
    <w:tmpl w:val="4DF88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2417ABF"/>
    <w:multiLevelType w:val="multilevel"/>
    <w:tmpl w:val="6B58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72A5DD6"/>
    <w:multiLevelType w:val="multilevel"/>
    <w:tmpl w:val="6866A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96B5279"/>
    <w:multiLevelType w:val="multilevel"/>
    <w:tmpl w:val="82BCE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C2F73FD"/>
    <w:multiLevelType w:val="multilevel"/>
    <w:tmpl w:val="2362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E571472"/>
    <w:multiLevelType w:val="multilevel"/>
    <w:tmpl w:val="12DCB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1413056">
    <w:abstractNumId w:val="47"/>
  </w:num>
  <w:num w:numId="2" w16cid:durableId="440540382">
    <w:abstractNumId w:val="53"/>
  </w:num>
  <w:num w:numId="3" w16cid:durableId="925724386">
    <w:abstractNumId w:val="35"/>
  </w:num>
  <w:num w:numId="4" w16cid:durableId="1070425934">
    <w:abstractNumId w:val="16"/>
  </w:num>
  <w:num w:numId="5" w16cid:durableId="1258909092">
    <w:abstractNumId w:val="7"/>
  </w:num>
  <w:num w:numId="6" w16cid:durableId="440345130">
    <w:abstractNumId w:val="42"/>
  </w:num>
  <w:num w:numId="7" w16cid:durableId="351304037">
    <w:abstractNumId w:val="65"/>
  </w:num>
  <w:num w:numId="8" w16cid:durableId="2137095679">
    <w:abstractNumId w:val="17"/>
  </w:num>
  <w:num w:numId="9" w16cid:durableId="473640143">
    <w:abstractNumId w:val="54"/>
  </w:num>
  <w:num w:numId="10" w16cid:durableId="751506998">
    <w:abstractNumId w:val="62"/>
  </w:num>
  <w:num w:numId="11" w16cid:durableId="117916955">
    <w:abstractNumId w:val="27"/>
  </w:num>
  <w:num w:numId="12" w16cid:durableId="2116903100">
    <w:abstractNumId w:val="61"/>
  </w:num>
  <w:num w:numId="13" w16cid:durableId="532695029">
    <w:abstractNumId w:val="15"/>
  </w:num>
  <w:num w:numId="14" w16cid:durableId="148836062">
    <w:abstractNumId w:val="34"/>
  </w:num>
  <w:num w:numId="15" w16cid:durableId="409431383">
    <w:abstractNumId w:val="9"/>
  </w:num>
  <w:num w:numId="16" w16cid:durableId="1278099502">
    <w:abstractNumId w:val="64"/>
  </w:num>
  <w:num w:numId="17" w16cid:durableId="1365789249">
    <w:abstractNumId w:val="38"/>
  </w:num>
  <w:num w:numId="18" w16cid:durableId="1209605149">
    <w:abstractNumId w:val="43"/>
  </w:num>
  <w:num w:numId="19" w16cid:durableId="752438683">
    <w:abstractNumId w:val="24"/>
  </w:num>
  <w:num w:numId="20" w16cid:durableId="2030328480">
    <w:abstractNumId w:val="25"/>
  </w:num>
  <w:num w:numId="21" w16cid:durableId="759910160">
    <w:abstractNumId w:val="28"/>
  </w:num>
  <w:num w:numId="22" w16cid:durableId="673797842">
    <w:abstractNumId w:val="8"/>
    <w:lvlOverride w:ilvl="0">
      <w:lvl w:ilvl="0">
        <w:numFmt w:val="decimal"/>
        <w:lvlText w:val="%1."/>
        <w:lvlJc w:val="left"/>
      </w:lvl>
    </w:lvlOverride>
  </w:num>
  <w:num w:numId="23" w16cid:durableId="1782989972">
    <w:abstractNumId w:val="8"/>
    <w:lvlOverride w:ilvl="0">
      <w:lvl w:ilvl="0">
        <w:numFmt w:val="decimal"/>
        <w:lvlText w:val="%1."/>
        <w:lvlJc w:val="left"/>
      </w:lvl>
    </w:lvlOverride>
  </w:num>
  <w:num w:numId="24" w16cid:durableId="854735400">
    <w:abstractNumId w:val="8"/>
    <w:lvlOverride w:ilvl="0">
      <w:lvl w:ilvl="0">
        <w:numFmt w:val="decimal"/>
        <w:lvlText w:val="%1."/>
        <w:lvlJc w:val="left"/>
      </w:lvl>
    </w:lvlOverride>
  </w:num>
  <w:num w:numId="25" w16cid:durableId="2042776343">
    <w:abstractNumId w:val="8"/>
    <w:lvlOverride w:ilvl="0">
      <w:lvl w:ilvl="0">
        <w:numFmt w:val="decimal"/>
        <w:lvlText w:val="%1."/>
        <w:lvlJc w:val="left"/>
      </w:lvl>
    </w:lvlOverride>
  </w:num>
  <w:num w:numId="26" w16cid:durableId="1568151343">
    <w:abstractNumId w:val="8"/>
    <w:lvlOverride w:ilvl="0">
      <w:lvl w:ilvl="0">
        <w:numFmt w:val="decimal"/>
        <w:lvlText w:val="%1."/>
        <w:lvlJc w:val="left"/>
      </w:lvl>
    </w:lvlOverride>
  </w:num>
  <w:num w:numId="27" w16cid:durableId="184488571">
    <w:abstractNumId w:val="8"/>
    <w:lvlOverride w:ilvl="0">
      <w:lvl w:ilvl="0">
        <w:numFmt w:val="decimal"/>
        <w:lvlText w:val="%1."/>
        <w:lvlJc w:val="left"/>
      </w:lvl>
    </w:lvlOverride>
  </w:num>
  <w:num w:numId="28" w16cid:durableId="171722831">
    <w:abstractNumId w:val="1"/>
  </w:num>
  <w:num w:numId="29" w16cid:durableId="1788155262">
    <w:abstractNumId w:val="32"/>
  </w:num>
  <w:num w:numId="30" w16cid:durableId="1497499362">
    <w:abstractNumId w:val="22"/>
  </w:num>
  <w:num w:numId="31" w16cid:durableId="1232229035">
    <w:abstractNumId w:val="37"/>
  </w:num>
  <w:num w:numId="32" w16cid:durableId="1020550969">
    <w:abstractNumId w:val="21"/>
  </w:num>
  <w:num w:numId="33" w16cid:durableId="2015648010">
    <w:abstractNumId w:val="30"/>
  </w:num>
  <w:num w:numId="34" w16cid:durableId="1904060">
    <w:abstractNumId w:val="23"/>
  </w:num>
  <w:num w:numId="35" w16cid:durableId="258174452">
    <w:abstractNumId w:val="52"/>
    <w:lvlOverride w:ilvl="0">
      <w:lvl w:ilvl="0">
        <w:numFmt w:val="decimal"/>
        <w:lvlText w:val="%1."/>
        <w:lvlJc w:val="left"/>
      </w:lvl>
    </w:lvlOverride>
  </w:num>
  <w:num w:numId="36" w16cid:durableId="2088533681">
    <w:abstractNumId w:val="36"/>
    <w:lvlOverride w:ilvl="0">
      <w:lvl w:ilvl="0">
        <w:numFmt w:val="decimal"/>
        <w:lvlText w:val="%1."/>
        <w:lvlJc w:val="left"/>
      </w:lvl>
    </w:lvlOverride>
  </w:num>
  <w:num w:numId="37" w16cid:durableId="1443066170">
    <w:abstractNumId w:val="40"/>
    <w:lvlOverride w:ilvl="0">
      <w:lvl w:ilvl="0">
        <w:numFmt w:val="decimal"/>
        <w:lvlText w:val="%1."/>
        <w:lvlJc w:val="left"/>
      </w:lvl>
    </w:lvlOverride>
  </w:num>
  <w:num w:numId="38" w16cid:durableId="1081566250">
    <w:abstractNumId w:val="4"/>
    <w:lvlOverride w:ilvl="0">
      <w:lvl w:ilvl="0">
        <w:numFmt w:val="decimal"/>
        <w:lvlText w:val="%1."/>
        <w:lvlJc w:val="left"/>
      </w:lvl>
    </w:lvlOverride>
  </w:num>
  <w:num w:numId="39" w16cid:durableId="1105493998">
    <w:abstractNumId w:val="0"/>
    <w:lvlOverride w:ilvl="0">
      <w:lvl w:ilvl="0">
        <w:numFmt w:val="decimal"/>
        <w:lvlText w:val="%1."/>
        <w:lvlJc w:val="left"/>
      </w:lvl>
    </w:lvlOverride>
  </w:num>
  <w:num w:numId="40" w16cid:durableId="1826314189">
    <w:abstractNumId w:val="59"/>
    <w:lvlOverride w:ilvl="0">
      <w:lvl w:ilvl="0">
        <w:numFmt w:val="decimal"/>
        <w:lvlText w:val="%1."/>
        <w:lvlJc w:val="left"/>
      </w:lvl>
    </w:lvlOverride>
  </w:num>
  <w:num w:numId="41" w16cid:durableId="1112092541">
    <w:abstractNumId w:val="57"/>
  </w:num>
  <w:num w:numId="42" w16cid:durableId="1048725486">
    <w:abstractNumId w:val="66"/>
  </w:num>
  <w:num w:numId="43" w16cid:durableId="1554464875">
    <w:abstractNumId w:val="50"/>
  </w:num>
  <w:num w:numId="44" w16cid:durableId="1912960220">
    <w:abstractNumId w:val="14"/>
  </w:num>
  <w:num w:numId="45" w16cid:durableId="1443187061">
    <w:abstractNumId w:val="20"/>
  </w:num>
  <w:num w:numId="46" w16cid:durableId="723257815">
    <w:abstractNumId w:val="45"/>
    <w:lvlOverride w:ilvl="0">
      <w:lvl w:ilvl="0">
        <w:numFmt w:val="decimal"/>
        <w:lvlText w:val="%1."/>
        <w:lvlJc w:val="left"/>
      </w:lvl>
    </w:lvlOverride>
  </w:num>
  <w:num w:numId="47" w16cid:durableId="1878658350">
    <w:abstractNumId w:val="18"/>
    <w:lvlOverride w:ilvl="0">
      <w:lvl w:ilvl="0">
        <w:numFmt w:val="decimal"/>
        <w:lvlText w:val="%1."/>
        <w:lvlJc w:val="left"/>
      </w:lvl>
    </w:lvlOverride>
  </w:num>
  <w:num w:numId="48" w16cid:durableId="1759129129">
    <w:abstractNumId w:val="46"/>
    <w:lvlOverride w:ilvl="0">
      <w:lvl w:ilvl="0">
        <w:numFmt w:val="decimal"/>
        <w:lvlText w:val="%1."/>
        <w:lvlJc w:val="left"/>
      </w:lvl>
    </w:lvlOverride>
  </w:num>
  <w:num w:numId="49" w16cid:durableId="341518585">
    <w:abstractNumId w:val="31"/>
    <w:lvlOverride w:ilvl="0">
      <w:lvl w:ilvl="0">
        <w:numFmt w:val="decimal"/>
        <w:lvlText w:val="%1."/>
        <w:lvlJc w:val="left"/>
      </w:lvl>
    </w:lvlOverride>
  </w:num>
  <w:num w:numId="50" w16cid:durableId="1536499595">
    <w:abstractNumId w:val="13"/>
    <w:lvlOverride w:ilvl="0">
      <w:lvl w:ilvl="0">
        <w:numFmt w:val="decimal"/>
        <w:lvlText w:val="%1."/>
        <w:lvlJc w:val="left"/>
      </w:lvl>
    </w:lvlOverride>
  </w:num>
  <w:num w:numId="51" w16cid:durableId="361634718">
    <w:abstractNumId w:val="41"/>
  </w:num>
  <w:num w:numId="52" w16cid:durableId="1563177338">
    <w:abstractNumId w:val="10"/>
  </w:num>
  <w:num w:numId="53" w16cid:durableId="564220753">
    <w:abstractNumId w:val="51"/>
  </w:num>
  <w:num w:numId="54" w16cid:durableId="1872646467">
    <w:abstractNumId w:val="3"/>
  </w:num>
  <w:num w:numId="55" w16cid:durableId="884874260">
    <w:abstractNumId w:val="63"/>
  </w:num>
  <w:num w:numId="56" w16cid:durableId="1864972305">
    <w:abstractNumId w:val="11"/>
  </w:num>
  <w:num w:numId="57" w16cid:durableId="527908313">
    <w:abstractNumId w:val="33"/>
  </w:num>
  <w:num w:numId="58" w16cid:durableId="243881220">
    <w:abstractNumId w:val="58"/>
    <w:lvlOverride w:ilvl="0">
      <w:lvl w:ilvl="0">
        <w:numFmt w:val="decimal"/>
        <w:lvlText w:val="%1."/>
        <w:lvlJc w:val="left"/>
      </w:lvl>
    </w:lvlOverride>
  </w:num>
  <w:num w:numId="59" w16cid:durableId="194121937">
    <w:abstractNumId w:val="58"/>
    <w:lvlOverride w:ilvl="0">
      <w:lvl w:ilvl="0">
        <w:numFmt w:val="decimal"/>
        <w:lvlText w:val="%1."/>
        <w:lvlJc w:val="left"/>
      </w:lvl>
    </w:lvlOverride>
  </w:num>
  <w:num w:numId="60" w16cid:durableId="1089734657">
    <w:abstractNumId w:val="58"/>
    <w:lvlOverride w:ilvl="0">
      <w:lvl w:ilvl="0">
        <w:numFmt w:val="decimal"/>
        <w:lvlText w:val="%1."/>
        <w:lvlJc w:val="left"/>
      </w:lvl>
    </w:lvlOverride>
  </w:num>
  <w:num w:numId="61" w16cid:durableId="1459639140">
    <w:abstractNumId w:val="58"/>
    <w:lvlOverride w:ilvl="0">
      <w:lvl w:ilvl="0">
        <w:numFmt w:val="decimal"/>
        <w:lvlText w:val="%1."/>
        <w:lvlJc w:val="left"/>
      </w:lvl>
    </w:lvlOverride>
  </w:num>
  <w:num w:numId="62" w16cid:durableId="2122457571">
    <w:abstractNumId w:val="58"/>
    <w:lvlOverride w:ilvl="0">
      <w:lvl w:ilvl="0">
        <w:numFmt w:val="decimal"/>
        <w:lvlText w:val="%1."/>
        <w:lvlJc w:val="left"/>
      </w:lvl>
    </w:lvlOverride>
  </w:num>
  <w:num w:numId="63" w16cid:durableId="325012377">
    <w:abstractNumId w:val="58"/>
    <w:lvlOverride w:ilvl="0">
      <w:lvl w:ilvl="0">
        <w:numFmt w:val="decimal"/>
        <w:lvlText w:val="%1."/>
        <w:lvlJc w:val="left"/>
      </w:lvl>
    </w:lvlOverride>
  </w:num>
  <w:num w:numId="64" w16cid:durableId="963072713">
    <w:abstractNumId w:val="29"/>
  </w:num>
  <w:num w:numId="65" w16cid:durableId="494105817">
    <w:abstractNumId w:val="2"/>
  </w:num>
  <w:num w:numId="66" w16cid:durableId="1197356005">
    <w:abstractNumId w:val="60"/>
  </w:num>
  <w:num w:numId="67" w16cid:durableId="820316069">
    <w:abstractNumId w:val="6"/>
  </w:num>
  <w:num w:numId="68" w16cid:durableId="550462156">
    <w:abstractNumId w:val="12"/>
    <w:lvlOverride w:ilvl="0">
      <w:lvl w:ilvl="0">
        <w:numFmt w:val="decimal"/>
        <w:lvlText w:val="%1."/>
        <w:lvlJc w:val="left"/>
      </w:lvl>
    </w:lvlOverride>
  </w:num>
  <w:num w:numId="69" w16cid:durableId="73431683">
    <w:abstractNumId w:val="19"/>
    <w:lvlOverride w:ilvl="0">
      <w:lvl w:ilvl="0">
        <w:numFmt w:val="decimal"/>
        <w:lvlText w:val="%1."/>
        <w:lvlJc w:val="left"/>
      </w:lvl>
    </w:lvlOverride>
  </w:num>
  <w:num w:numId="70" w16cid:durableId="836309774">
    <w:abstractNumId w:val="48"/>
    <w:lvlOverride w:ilvl="0">
      <w:lvl w:ilvl="0">
        <w:numFmt w:val="decimal"/>
        <w:lvlText w:val="%1."/>
        <w:lvlJc w:val="left"/>
      </w:lvl>
    </w:lvlOverride>
  </w:num>
  <w:num w:numId="71" w16cid:durableId="91362165">
    <w:abstractNumId w:val="55"/>
    <w:lvlOverride w:ilvl="0">
      <w:lvl w:ilvl="0">
        <w:numFmt w:val="decimal"/>
        <w:lvlText w:val="%1."/>
        <w:lvlJc w:val="left"/>
      </w:lvl>
    </w:lvlOverride>
  </w:num>
  <w:num w:numId="72" w16cid:durableId="265044670">
    <w:abstractNumId w:val="5"/>
    <w:lvlOverride w:ilvl="0">
      <w:lvl w:ilvl="0">
        <w:numFmt w:val="decimal"/>
        <w:lvlText w:val="%1."/>
        <w:lvlJc w:val="left"/>
      </w:lvl>
    </w:lvlOverride>
  </w:num>
  <w:num w:numId="73" w16cid:durableId="1867670095">
    <w:abstractNumId w:val="39"/>
    <w:lvlOverride w:ilvl="0">
      <w:lvl w:ilvl="0">
        <w:numFmt w:val="decimal"/>
        <w:lvlText w:val="%1."/>
        <w:lvlJc w:val="left"/>
      </w:lvl>
    </w:lvlOverride>
  </w:num>
  <w:num w:numId="74" w16cid:durableId="1033993857">
    <w:abstractNumId w:val="44"/>
  </w:num>
  <w:num w:numId="75" w16cid:durableId="200169160">
    <w:abstractNumId w:val="56"/>
  </w:num>
  <w:num w:numId="76" w16cid:durableId="456795932">
    <w:abstractNumId w:val="49"/>
  </w:num>
  <w:num w:numId="77" w16cid:durableId="80145919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688"/>
    <w:rsid w:val="00012688"/>
    <w:rsid w:val="00016CC1"/>
    <w:rsid w:val="00050678"/>
    <w:rsid w:val="001A21AD"/>
    <w:rsid w:val="001C1C8A"/>
    <w:rsid w:val="001E4B1A"/>
    <w:rsid w:val="002E3E10"/>
    <w:rsid w:val="00374F57"/>
    <w:rsid w:val="00483C86"/>
    <w:rsid w:val="006C5AB5"/>
    <w:rsid w:val="007F6132"/>
    <w:rsid w:val="00D949FA"/>
    <w:rsid w:val="00EA58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BE8641"/>
  <w15:docId w15:val="{831EB0B0-9437-4DE9-859D-A1EEF620C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keepLines/>
      <w:spacing w:before="480" w:after="120"/>
      <w:outlineLvl w:val="0"/>
    </w:pPr>
    <w:rPr>
      <w:b/>
      <w:bCs/>
      <w:sz w:val="48"/>
      <w:szCs w:val="48"/>
    </w:rPr>
  </w:style>
  <w:style w:type="paragraph" w:styleId="Ttulo2">
    <w:name w:val="heading 2"/>
    <w:basedOn w:val="Normal"/>
    <w:next w:val="Normal"/>
    <w:link w:val="Ttulo2Car"/>
    <w:uiPriority w:val="9"/>
    <w:semiHidden/>
    <w:unhideWhenUsed/>
    <w:qFormat/>
    <w:pPr>
      <w:keepNext/>
      <w:keepLines/>
      <w:spacing w:before="360" w:after="80"/>
      <w:outlineLvl w:val="1"/>
    </w:pPr>
    <w:rPr>
      <w:b/>
      <w:bCs/>
      <w:sz w:val="36"/>
      <w:szCs w:val="36"/>
    </w:rPr>
  </w:style>
  <w:style w:type="paragraph" w:styleId="Ttulo3">
    <w:name w:val="heading 3"/>
    <w:basedOn w:val="Normal"/>
    <w:next w:val="Normal"/>
    <w:link w:val="Ttulo3Car"/>
    <w:uiPriority w:val="9"/>
    <w:semiHidden/>
    <w:unhideWhenUsed/>
    <w:qFormat/>
    <w:pPr>
      <w:keepNext/>
      <w:keepLines/>
      <w:spacing w:before="280" w:after="80"/>
      <w:outlineLvl w:val="2"/>
    </w:pPr>
    <w:rPr>
      <w:b/>
      <w:bCs/>
      <w:sz w:val="28"/>
      <w:szCs w:val="28"/>
    </w:rPr>
  </w:style>
  <w:style w:type="paragraph" w:styleId="Ttulo4">
    <w:name w:val="heading 4"/>
    <w:basedOn w:val="Normal"/>
    <w:next w:val="Normal"/>
    <w:link w:val="Ttulo4Car"/>
    <w:uiPriority w:val="9"/>
    <w:semiHidden/>
    <w:unhideWhenUsed/>
    <w:qFormat/>
    <w:pPr>
      <w:keepNext/>
      <w:keepLines/>
      <w:spacing w:before="240" w:after="40"/>
      <w:outlineLvl w:val="3"/>
    </w:pPr>
    <w:rPr>
      <w:b/>
      <w:bCs/>
    </w:rPr>
  </w:style>
  <w:style w:type="paragraph" w:styleId="Ttulo5">
    <w:name w:val="heading 5"/>
    <w:basedOn w:val="Normal"/>
    <w:next w:val="Normal"/>
    <w:link w:val="Ttulo5Car"/>
    <w:uiPriority w:val="9"/>
    <w:semiHidden/>
    <w:unhideWhenUsed/>
    <w:qFormat/>
    <w:pPr>
      <w:keepNext/>
      <w:keepLines/>
      <w:spacing w:before="220" w:after="40"/>
      <w:outlineLvl w:val="4"/>
    </w:pPr>
    <w:rPr>
      <w:b/>
      <w:bCs/>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bCs/>
      <w:sz w:val="20"/>
      <w:szCs w:val="20"/>
    </w:rPr>
  </w:style>
  <w:style w:type="paragraph" w:styleId="Ttulo7">
    <w:name w:val="heading 7"/>
    <w:basedOn w:val="Normal"/>
    <w:next w:val="Normal"/>
    <w:link w:val="Ttulo7Car"/>
    <w:uiPriority w:val="9"/>
    <w:semiHidden/>
    <w:unhideWhenUsed/>
    <w:qFormat/>
    <w:rsid w:val="006C5AB5"/>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Ttulo8">
    <w:name w:val="heading 8"/>
    <w:basedOn w:val="Normal"/>
    <w:next w:val="Normal"/>
    <w:link w:val="Ttulo8Car"/>
    <w:uiPriority w:val="9"/>
    <w:semiHidden/>
    <w:unhideWhenUsed/>
    <w:qFormat/>
    <w:rsid w:val="006C5AB5"/>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Ttulo9">
    <w:name w:val="heading 9"/>
    <w:basedOn w:val="Normal"/>
    <w:next w:val="Normal"/>
    <w:link w:val="Ttulo9Car"/>
    <w:uiPriority w:val="9"/>
    <w:semiHidden/>
    <w:unhideWhenUsed/>
    <w:qFormat/>
    <w:rsid w:val="006C5AB5"/>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keepNext/>
      <w:keepLines/>
      <w:spacing w:before="480" w:after="120"/>
    </w:pPr>
    <w:rPr>
      <w:b/>
      <w:bCs/>
      <w:sz w:val="72"/>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iCs/>
      <w:color w:val="666666"/>
      <w:sz w:val="48"/>
      <w:szCs w:val="48"/>
    </w:rPr>
  </w:style>
  <w:style w:type="character" w:customStyle="1" w:styleId="Ttulo7Car">
    <w:name w:val="Título 7 Car"/>
    <w:basedOn w:val="Fuentedeprrafopredeter"/>
    <w:link w:val="Ttulo7"/>
    <w:uiPriority w:val="9"/>
    <w:semiHidden/>
    <w:rsid w:val="006C5AB5"/>
    <w:rPr>
      <w:rFonts w:asciiTheme="minorHAnsi" w:eastAsiaTheme="majorEastAsia" w:hAnsiTheme="minorHAnsi" w:cstheme="majorBidi"/>
      <w:color w:val="595959" w:themeColor="text1" w:themeTint="A6"/>
      <w:kern w:val="2"/>
      <w:lang w:eastAsia="en-US"/>
      <w14:ligatures w14:val="standardContextual"/>
    </w:rPr>
  </w:style>
  <w:style w:type="character" w:customStyle="1" w:styleId="Ttulo8Car">
    <w:name w:val="Título 8 Car"/>
    <w:basedOn w:val="Fuentedeprrafopredeter"/>
    <w:link w:val="Ttulo8"/>
    <w:uiPriority w:val="9"/>
    <w:semiHidden/>
    <w:rsid w:val="006C5AB5"/>
    <w:rPr>
      <w:rFonts w:asciiTheme="minorHAnsi" w:eastAsiaTheme="majorEastAsia" w:hAnsiTheme="minorHAnsi" w:cstheme="majorBidi"/>
      <w:i/>
      <w:iCs/>
      <w:color w:val="272727" w:themeColor="text1" w:themeTint="D8"/>
      <w:kern w:val="2"/>
      <w:lang w:eastAsia="en-US"/>
      <w14:ligatures w14:val="standardContextual"/>
    </w:rPr>
  </w:style>
  <w:style w:type="character" w:customStyle="1" w:styleId="Ttulo9Car">
    <w:name w:val="Título 9 Car"/>
    <w:basedOn w:val="Fuentedeprrafopredeter"/>
    <w:link w:val="Ttulo9"/>
    <w:uiPriority w:val="9"/>
    <w:semiHidden/>
    <w:rsid w:val="006C5AB5"/>
    <w:rPr>
      <w:rFonts w:asciiTheme="minorHAnsi" w:eastAsiaTheme="majorEastAsia" w:hAnsiTheme="minorHAnsi" w:cstheme="majorBidi"/>
      <w:color w:val="272727" w:themeColor="text1" w:themeTint="D8"/>
      <w:kern w:val="2"/>
      <w:lang w:eastAsia="en-US"/>
      <w14:ligatures w14:val="standardContextual"/>
    </w:rPr>
  </w:style>
  <w:style w:type="character" w:customStyle="1" w:styleId="Ttulo1Car">
    <w:name w:val="Título 1 Car"/>
    <w:basedOn w:val="Fuentedeprrafopredeter"/>
    <w:link w:val="Ttulo1"/>
    <w:uiPriority w:val="9"/>
    <w:rsid w:val="006C5AB5"/>
    <w:rPr>
      <w:b/>
      <w:bCs/>
      <w:sz w:val="48"/>
      <w:szCs w:val="48"/>
    </w:rPr>
  </w:style>
  <w:style w:type="character" w:customStyle="1" w:styleId="Ttulo2Car">
    <w:name w:val="Título 2 Car"/>
    <w:basedOn w:val="Fuentedeprrafopredeter"/>
    <w:link w:val="Ttulo2"/>
    <w:uiPriority w:val="9"/>
    <w:semiHidden/>
    <w:rsid w:val="006C5AB5"/>
    <w:rPr>
      <w:b/>
      <w:bCs/>
      <w:sz w:val="36"/>
      <w:szCs w:val="36"/>
    </w:rPr>
  </w:style>
  <w:style w:type="character" w:customStyle="1" w:styleId="Ttulo3Car">
    <w:name w:val="Título 3 Car"/>
    <w:basedOn w:val="Fuentedeprrafopredeter"/>
    <w:link w:val="Ttulo3"/>
    <w:uiPriority w:val="9"/>
    <w:semiHidden/>
    <w:rsid w:val="006C5AB5"/>
    <w:rPr>
      <w:b/>
      <w:bCs/>
      <w:sz w:val="28"/>
      <w:szCs w:val="28"/>
    </w:rPr>
  </w:style>
  <w:style w:type="character" w:customStyle="1" w:styleId="Ttulo4Car">
    <w:name w:val="Título 4 Car"/>
    <w:basedOn w:val="Fuentedeprrafopredeter"/>
    <w:link w:val="Ttulo4"/>
    <w:uiPriority w:val="9"/>
    <w:semiHidden/>
    <w:rsid w:val="006C5AB5"/>
    <w:rPr>
      <w:b/>
      <w:bCs/>
    </w:rPr>
  </w:style>
  <w:style w:type="character" w:customStyle="1" w:styleId="Ttulo5Car">
    <w:name w:val="Título 5 Car"/>
    <w:basedOn w:val="Fuentedeprrafopredeter"/>
    <w:link w:val="Ttulo5"/>
    <w:uiPriority w:val="9"/>
    <w:semiHidden/>
    <w:rsid w:val="006C5AB5"/>
    <w:rPr>
      <w:b/>
      <w:bCs/>
      <w:sz w:val="22"/>
      <w:szCs w:val="22"/>
    </w:rPr>
  </w:style>
  <w:style w:type="character" w:customStyle="1" w:styleId="Ttulo6Car">
    <w:name w:val="Título 6 Car"/>
    <w:basedOn w:val="Fuentedeprrafopredeter"/>
    <w:link w:val="Ttulo6"/>
    <w:uiPriority w:val="9"/>
    <w:semiHidden/>
    <w:rsid w:val="006C5AB5"/>
    <w:rPr>
      <w:b/>
      <w:bCs/>
      <w:sz w:val="20"/>
      <w:szCs w:val="20"/>
    </w:rPr>
  </w:style>
  <w:style w:type="character" w:customStyle="1" w:styleId="TtuloCar">
    <w:name w:val="Título Car"/>
    <w:basedOn w:val="Fuentedeprrafopredeter"/>
    <w:link w:val="Ttulo"/>
    <w:uiPriority w:val="10"/>
    <w:rsid w:val="006C5AB5"/>
    <w:rPr>
      <w:b/>
      <w:bCs/>
      <w:sz w:val="72"/>
      <w:szCs w:val="72"/>
    </w:rPr>
  </w:style>
  <w:style w:type="character" w:customStyle="1" w:styleId="SubttuloCar">
    <w:name w:val="Subtítulo Car"/>
    <w:basedOn w:val="Fuentedeprrafopredeter"/>
    <w:link w:val="Subttulo"/>
    <w:uiPriority w:val="11"/>
    <w:rsid w:val="006C5AB5"/>
    <w:rPr>
      <w:rFonts w:ascii="Georgia" w:eastAsia="Georgia" w:hAnsi="Georgia" w:cs="Georgia"/>
      <w:i/>
      <w:iCs/>
      <w:color w:val="666666"/>
      <w:sz w:val="48"/>
      <w:szCs w:val="48"/>
    </w:rPr>
  </w:style>
  <w:style w:type="paragraph" w:styleId="Cita">
    <w:name w:val="Quote"/>
    <w:basedOn w:val="Normal"/>
    <w:next w:val="Normal"/>
    <w:link w:val="CitaCar"/>
    <w:uiPriority w:val="29"/>
    <w:qFormat/>
    <w:rsid w:val="006C5AB5"/>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Car">
    <w:name w:val="Cita Car"/>
    <w:basedOn w:val="Fuentedeprrafopredeter"/>
    <w:link w:val="Cita"/>
    <w:uiPriority w:val="29"/>
    <w:rsid w:val="006C5AB5"/>
    <w:rPr>
      <w:rFonts w:asciiTheme="minorHAnsi" w:eastAsiaTheme="minorHAnsi" w:hAnsiTheme="minorHAnsi" w:cstheme="minorBidi"/>
      <w:i/>
      <w:iCs/>
      <w:color w:val="404040" w:themeColor="text1" w:themeTint="BF"/>
      <w:kern w:val="2"/>
      <w:lang w:eastAsia="en-US"/>
      <w14:ligatures w14:val="standardContextual"/>
    </w:rPr>
  </w:style>
  <w:style w:type="paragraph" w:styleId="Prrafodelista">
    <w:name w:val="List Paragraph"/>
    <w:basedOn w:val="Normal"/>
    <w:uiPriority w:val="34"/>
    <w:qFormat/>
    <w:rsid w:val="006C5AB5"/>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nfasisintenso">
    <w:name w:val="Intense Emphasis"/>
    <w:basedOn w:val="Fuentedeprrafopredeter"/>
    <w:uiPriority w:val="21"/>
    <w:qFormat/>
    <w:rsid w:val="006C5AB5"/>
    <w:rPr>
      <w:i/>
      <w:iCs/>
      <w:color w:val="365F91" w:themeColor="accent1" w:themeShade="BF"/>
    </w:rPr>
  </w:style>
  <w:style w:type="paragraph" w:styleId="Citadestacada">
    <w:name w:val="Intense Quote"/>
    <w:basedOn w:val="Normal"/>
    <w:next w:val="Normal"/>
    <w:link w:val="CitadestacadaCar"/>
    <w:uiPriority w:val="30"/>
    <w:qFormat/>
    <w:rsid w:val="006C5AB5"/>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lang w:eastAsia="en-US"/>
      <w14:ligatures w14:val="standardContextual"/>
    </w:rPr>
  </w:style>
  <w:style w:type="character" w:customStyle="1" w:styleId="CitadestacadaCar">
    <w:name w:val="Cita destacada Car"/>
    <w:basedOn w:val="Fuentedeprrafopredeter"/>
    <w:link w:val="Citadestacada"/>
    <w:uiPriority w:val="30"/>
    <w:rsid w:val="006C5AB5"/>
    <w:rPr>
      <w:rFonts w:asciiTheme="minorHAnsi" w:eastAsiaTheme="minorHAnsi" w:hAnsiTheme="minorHAnsi" w:cstheme="minorBidi"/>
      <w:i/>
      <w:iCs/>
      <w:color w:val="365F91" w:themeColor="accent1" w:themeShade="BF"/>
      <w:kern w:val="2"/>
      <w:lang w:eastAsia="en-US"/>
      <w14:ligatures w14:val="standardContextual"/>
    </w:rPr>
  </w:style>
  <w:style w:type="character" w:styleId="Referenciaintensa">
    <w:name w:val="Intense Reference"/>
    <w:basedOn w:val="Fuentedeprrafopredeter"/>
    <w:uiPriority w:val="32"/>
    <w:qFormat/>
    <w:rsid w:val="006C5AB5"/>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4566</Words>
  <Characters>25116</Characters>
  <Application>Microsoft Office Word</Application>
  <DocSecurity>0</DocSecurity>
  <Lines>209</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Jacky</dc:creator>
  <cp:lastModifiedBy>Jackeline Betancourt Ch</cp:lastModifiedBy>
  <cp:revision>2</cp:revision>
  <dcterms:created xsi:type="dcterms:W3CDTF">2026-03-16T01:09:00Z</dcterms:created>
  <dcterms:modified xsi:type="dcterms:W3CDTF">2026-03-16T01:09:00Z</dcterms:modified>
</cp:coreProperties>
</file>